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C0940" w14:textId="6DB75F39" w:rsidR="006170B5" w:rsidRPr="007C62CD" w:rsidRDefault="006170B5" w:rsidP="006170B5">
      <w:pPr>
        <w:jc w:val="right"/>
        <w:rPr>
          <w:rFonts w:ascii="Poppins" w:hAnsi="Poppins" w:cs="Poppins"/>
        </w:rPr>
      </w:pPr>
      <w:r w:rsidRPr="007C62CD">
        <w:rPr>
          <w:rFonts w:ascii="Poppins" w:hAnsi="Poppins" w:cs="Poppins"/>
        </w:rPr>
        <w:t xml:space="preserve">Warszawa, </w:t>
      </w:r>
      <w:r w:rsidR="003821F9">
        <w:rPr>
          <w:rFonts w:ascii="Poppins" w:hAnsi="Poppins" w:cs="Poppins"/>
        </w:rPr>
        <w:t>22</w:t>
      </w:r>
      <w:r w:rsidR="00BF2F46" w:rsidRPr="007C62CD">
        <w:rPr>
          <w:rFonts w:ascii="Poppins" w:hAnsi="Poppins" w:cs="Poppins"/>
        </w:rPr>
        <w:t>.</w:t>
      </w:r>
      <w:r w:rsidR="006C07E3" w:rsidRPr="007C62CD">
        <w:rPr>
          <w:rFonts w:ascii="Poppins" w:hAnsi="Poppins" w:cs="Poppins"/>
        </w:rPr>
        <w:t>0</w:t>
      </w:r>
      <w:r w:rsidR="00302916" w:rsidRPr="007C62CD">
        <w:rPr>
          <w:rFonts w:ascii="Poppins" w:hAnsi="Poppins" w:cs="Poppins"/>
        </w:rPr>
        <w:t>9</w:t>
      </w:r>
      <w:r w:rsidR="00BF2F46" w:rsidRPr="007C62CD">
        <w:rPr>
          <w:rFonts w:ascii="Poppins" w:hAnsi="Poppins" w:cs="Poppins"/>
        </w:rPr>
        <w:t>.202</w:t>
      </w:r>
      <w:r w:rsidR="00BE3A55" w:rsidRPr="007C62CD">
        <w:rPr>
          <w:rFonts w:ascii="Poppins" w:hAnsi="Poppins" w:cs="Poppins"/>
        </w:rPr>
        <w:t>5</w:t>
      </w:r>
      <w:r w:rsidR="00BF2F46" w:rsidRPr="007C62CD">
        <w:rPr>
          <w:rFonts w:ascii="Poppins" w:hAnsi="Poppins" w:cs="Poppins"/>
        </w:rPr>
        <w:t xml:space="preserve"> r.</w:t>
      </w:r>
    </w:p>
    <w:p w14:paraId="1907DD98" w14:textId="12EED7CD" w:rsidR="00CA33AD" w:rsidRPr="007C62CD" w:rsidRDefault="00293F01" w:rsidP="00CA33AD">
      <w:pPr>
        <w:rPr>
          <w:rFonts w:ascii="Poppins" w:hAnsi="Poppins" w:cs="Poppins"/>
        </w:rPr>
      </w:pPr>
      <w:r w:rsidRPr="007C62CD">
        <w:rPr>
          <w:rFonts w:ascii="Poppins" w:hAnsi="Poppins" w:cs="Poppins"/>
        </w:rPr>
        <w:t xml:space="preserve">Autor: </w:t>
      </w:r>
      <w:r w:rsidR="00BF2F46" w:rsidRPr="007C62CD">
        <w:rPr>
          <w:rFonts w:ascii="Poppins" w:hAnsi="Poppins" w:cs="Poppins"/>
        </w:rPr>
        <w:t>Jarosław Jędrzyński</w:t>
      </w:r>
      <w:r w:rsidR="007C62CD" w:rsidRPr="007C62CD">
        <w:rPr>
          <w:rFonts w:ascii="Poppins" w:hAnsi="Poppins" w:cs="Poppins"/>
        </w:rPr>
        <w:t>, ekspert portalu RynekPierwotny.pl</w:t>
      </w:r>
    </w:p>
    <w:p w14:paraId="5DE82AA1" w14:textId="2ECD0CDD" w:rsidR="00DA1A06" w:rsidRPr="002A3A58" w:rsidRDefault="00614668" w:rsidP="003821F9">
      <w:pPr>
        <w:shd w:val="clear" w:color="auto" w:fill="FFFFFF"/>
        <w:spacing w:before="120" w:after="120" w:line="240" w:lineRule="auto"/>
        <w:jc w:val="center"/>
        <w:rPr>
          <w:rFonts w:ascii="Poppins" w:eastAsia="Times New Roman" w:hAnsi="Poppins" w:cs="Poppins"/>
          <w:b/>
          <w:bCs/>
          <w:sz w:val="32"/>
          <w:szCs w:val="32"/>
        </w:rPr>
      </w:pPr>
      <w:r w:rsidRPr="002A3A58">
        <w:rPr>
          <w:rFonts w:ascii="Poppins" w:eastAsia="Times New Roman" w:hAnsi="Poppins" w:cs="Poppins"/>
          <w:b/>
          <w:bCs/>
          <w:sz w:val="32"/>
          <w:szCs w:val="32"/>
        </w:rPr>
        <w:t>W</w:t>
      </w:r>
      <w:r w:rsidR="00843F8B" w:rsidRPr="002A3A58">
        <w:rPr>
          <w:rFonts w:ascii="Poppins" w:eastAsia="Times New Roman" w:hAnsi="Poppins" w:cs="Poppins"/>
          <w:b/>
          <w:bCs/>
          <w:sz w:val="32"/>
          <w:szCs w:val="32"/>
        </w:rPr>
        <w:t xml:space="preserve"> dan</w:t>
      </w:r>
      <w:r w:rsidRPr="002A3A58">
        <w:rPr>
          <w:rFonts w:ascii="Poppins" w:eastAsia="Times New Roman" w:hAnsi="Poppins" w:cs="Poppins"/>
          <w:b/>
          <w:bCs/>
          <w:sz w:val="32"/>
          <w:szCs w:val="32"/>
        </w:rPr>
        <w:t>ych GUS</w:t>
      </w:r>
      <w:r w:rsidR="0042191B" w:rsidRPr="002A3A58">
        <w:rPr>
          <w:rFonts w:ascii="Poppins" w:eastAsia="Times New Roman" w:hAnsi="Poppins" w:cs="Poppins"/>
          <w:b/>
          <w:bCs/>
          <w:sz w:val="32"/>
          <w:szCs w:val="32"/>
        </w:rPr>
        <w:t xml:space="preserve"> budownictwa mieszkaniowego</w:t>
      </w:r>
      <w:r w:rsidRPr="002A3A58">
        <w:rPr>
          <w:rFonts w:ascii="Poppins" w:eastAsia="Times New Roman" w:hAnsi="Poppins" w:cs="Poppins"/>
          <w:b/>
          <w:bCs/>
          <w:sz w:val="32"/>
          <w:szCs w:val="32"/>
        </w:rPr>
        <w:t xml:space="preserve"> powrót do tendencji spadkowej</w:t>
      </w:r>
    </w:p>
    <w:p w14:paraId="546C595B" w14:textId="1B233A42" w:rsidR="00D91815" w:rsidRPr="007C62CD" w:rsidRDefault="00D91815" w:rsidP="00D91815">
      <w:pPr>
        <w:shd w:val="clear" w:color="auto" w:fill="FFFFFF"/>
        <w:spacing w:before="120" w:after="120" w:line="240" w:lineRule="auto"/>
        <w:jc w:val="both"/>
        <w:rPr>
          <w:rFonts w:ascii="Poppins" w:eastAsia="Times New Roman" w:hAnsi="Poppins" w:cs="Poppins"/>
          <w:b/>
          <w:bCs/>
          <w:lang w:val="ru-RU"/>
        </w:rPr>
      </w:pPr>
      <w:r w:rsidRPr="007C62CD">
        <w:rPr>
          <w:rFonts w:ascii="Poppins" w:eastAsia="Times New Roman" w:hAnsi="Poppins" w:cs="Poppins"/>
          <w:b/>
          <w:bCs/>
        </w:rPr>
        <w:t>Najnowsza</w:t>
      </w:r>
      <w:r w:rsidRPr="007C62CD">
        <w:rPr>
          <w:rFonts w:ascii="Poppins" w:eastAsia="Times New Roman" w:hAnsi="Poppins" w:cs="Poppins"/>
          <w:b/>
          <w:bCs/>
          <w:lang w:val="ru-RU"/>
        </w:rPr>
        <w:t xml:space="preserve"> informacja GUS, </w:t>
      </w:r>
      <w:r w:rsidR="00C01BF7">
        <w:rPr>
          <w:rFonts w:ascii="Poppins" w:eastAsia="Times New Roman" w:hAnsi="Poppins" w:cs="Poppins"/>
          <w:b/>
          <w:bCs/>
        </w:rPr>
        <w:t>zawierająca</w:t>
      </w:r>
      <w:r w:rsidRPr="007C62CD">
        <w:rPr>
          <w:rFonts w:ascii="Poppins" w:eastAsia="Times New Roman" w:hAnsi="Poppins" w:cs="Poppins"/>
          <w:b/>
          <w:bCs/>
          <w:lang w:val="ru-RU"/>
        </w:rPr>
        <w:t xml:space="preserve"> wstępne dane budownictwa mieszkaniowego w </w:t>
      </w:r>
      <w:r w:rsidR="00302916" w:rsidRPr="007C62CD">
        <w:rPr>
          <w:rFonts w:ascii="Poppins" w:eastAsia="Times New Roman" w:hAnsi="Poppins" w:cs="Poppins"/>
          <w:b/>
          <w:bCs/>
        </w:rPr>
        <w:t>sierpniu</w:t>
      </w:r>
      <w:r w:rsidR="00010C4D" w:rsidRPr="007C62CD">
        <w:rPr>
          <w:rFonts w:ascii="Poppins" w:eastAsia="Times New Roman" w:hAnsi="Poppins" w:cs="Poppins"/>
          <w:b/>
          <w:bCs/>
        </w:rPr>
        <w:t xml:space="preserve"> oraz</w:t>
      </w:r>
      <w:r w:rsidRPr="007C62CD">
        <w:rPr>
          <w:rFonts w:ascii="Poppins" w:eastAsia="Times New Roman" w:hAnsi="Poppins" w:cs="Poppins"/>
          <w:b/>
          <w:bCs/>
        </w:rPr>
        <w:t xml:space="preserve"> </w:t>
      </w:r>
      <w:r w:rsidR="006E7D5B" w:rsidRPr="007C62CD">
        <w:rPr>
          <w:rFonts w:ascii="Poppins" w:eastAsia="Times New Roman" w:hAnsi="Poppins" w:cs="Poppins"/>
          <w:b/>
          <w:bCs/>
        </w:rPr>
        <w:t xml:space="preserve">w </w:t>
      </w:r>
      <w:r w:rsidR="00302916" w:rsidRPr="007C62CD">
        <w:rPr>
          <w:rFonts w:ascii="Poppins" w:eastAsia="Times New Roman" w:hAnsi="Poppins" w:cs="Poppins"/>
          <w:b/>
          <w:bCs/>
        </w:rPr>
        <w:t>pierwszych ośmiu miesiącach</w:t>
      </w:r>
      <w:r w:rsidRPr="007C62CD">
        <w:rPr>
          <w:rFonts w:ascii="Poppins" w:eastAsia="Times New Roman" w:hAnsi="Poppins" w:cs="Poppins"/>
          <w:b/>
          <w:bCs/>
        </w:rPr>
        <w:t xml:space="preserve"> bieżącego roku,</w:t>
      </w:r>
      <w:r w:rsidR="006D0174" w:rsidRPr="007C62CD">
        <w:rPr>
          <w:rFonts w:ascii="Poppins" w:eastAsia="Times New Roman" w:hAnsi="Poppins" w:cs="Poppins"/>
          <w:b/>
          <w:bCs/>
        </w:rPr>
        <w:t xml:space="preserve"> okazała się sporym zaskoczeniem, niestety tym razem zdecydowanie negatywnym. Po lipcowym wyraźnym ożywieniu aktywności inwestycyjnej pierwotnego segmentu mieszkaniówki, w sierpniu nastąpiło wyraźne załamanie statystyk budownictwa mieszkaniowego. </w:t>
      </w:r>
      <w:r w:rsidR="003821F9">
        <w:rPr>
          <w:rFonts w:ascii="Poppins" w:eastAsia="Times New Roman" w:hAnsi="Poppins" w:cs="Poppins"/>
          <w:b/>
          <w:bCs/>
        </w:rPr>
        <w:t>Jak wskazują eksperci portalu RynekPierwotny.pl, t</w:t>
      </w:r>
      <w:r w:rsidR="006D0174" w:rsidRPr="007C62CD">
        <w:rPr>
          <w:rFonts w:ascii="Poppins" w:eastAsia="Times New Roman" w:hAnsi="Poppins" w:cs="Poppins"/>
          <w:b/>
          <w:bCs/>
        </w:rPr>
        <w:t>ym samym rynek nieoczekiwanie wykonał ruch powrotny w kierunku obowiązującej od półtora roku średnioterminowej tendencji spadkowej, potwierdzając jej dominację.</w:t>
      </w:r>
    </w:p>
    <w:p w14:paraId="73C716F0" w14:textId="77777777" w:rsidR="00B56979" w:rsidRPr="007C62CD" w:rsidRDefault="006D0174" w:rsidP="00251BAB">
      <w:pPr>
        <w:shd w:val="clear" w:color="auto" w:fill="FFFFFF"/>
        <w:spacing w:before="120" w:after="120" w:line="240" w:lineRule="auto"/>
        <w:jc w:val="both"/>
        <w:rPr>
          <w:rFonts w:ascii="Poppins" w:eastAsia="Times New Roman" w:hAnsi="Poppins" w:cs="Poppins"/>
        </w:rPr>
      </w:pPr>
      <w:r w:rsidRPr="007C62CD">
        <w:rPr>
          <w:rFonts w:ascii="Poppins" w:eastAsia="Times New Roman" w:hAnsi="Poppins" w:cs="Poppins"/>
        </w:rPr>
        <w:t>Jak się okazuje, m</w:t>
      </w:r>
      <w:r w:rsidR="006E7D5B" w:rsidRPr="007C62CD">
        <w:rPr>
          <w:rFonts w:ascii="Poppins" w:eastAsia="Times New Roman" w:hAnsi="Poppins" w:cs="Poppins"/>
        </w:rPr>
        <w:t>alejący t</w:t>
      </w:r>
      <w:r w:rsidR="0094148A" w:rsidRPr="007C62CD">
        <w:rPr>
          <w:rFonts w:ascii="Poppins" w:eastAsia="Times New Roman" w:hAnsi="Poppins" w:cs="Poppins"/>
        </w:rPr>
        <w:t xml:space="preserve">rend </w:t>
      </w:r>
      <w:r w:rsidR="00BE3A55" w:rsidRPr="007C62CD">
        <w:rPr>
          <w:rFonts w:ascii="Poppins" w:eastAsia="Times New Roman" w:hAnsi="Poppins" w:cs="Poppins"/>
        </w:rPr>
        <w:t>gusowskich statystyk budownictwa mieszkaniowego</w:t>
      </w:r>
      <w:r w:rsidRPr="007C62CD">
        <w:rPr>
          <w:rFonts w:ascii="Poppins" w:eastAsia="Times New Roman" w:hAnsi="Poppins" w:cs="Poppins"/>
        </w:rPr>
        <w:t xml:space="preserve"> ma się jednak w dalszym ciągu bardzo dobrze. Wybicie z lipca, które mogło sugerować przesilenie tendencji spadkowej, niestety nie doczekało się swojej kontynuacji, co przywraca</w:t>
      </w:r>
      <w:r w:rsidR="006E7D5B" w:rsidRPr="007C62CD">
        <w:rPr>
          <w:rFonts w:ascii="Poppins" w:eastAsia="Times New Roman" w:hAnsi="Poppins" w:cs="Poppins"/>
        </w:rPr>
        <w:t xml:space="preserve"> obawy o </w:t>
      </w:r>
      <w:r w:rsidR="004C5E07" w:rsidRPr="007C62CD">
        <w:rPr>
          <w:rFonts w:ascii="Poppins" w:eastAsia="Times New Roman" w:hAnsi="Poppins" w:cs="Poppins"/>
        </w:rPr>
        <w:t>ryzyko załamania koniunktury inwestycyjnej pierwotnego segmentu mieszkaniówki.</w:t>
      </w:r>
      <w:r w:rsidR="00AB774C" w:rsidRPr="007C62CD">
        <w:rPr>
          <w:rFonts w:ascii="Poppins" w:eastAsia="Times New Roman" w:hAnsi="Poppins" w:cs="Poppins"/>
        </w:rPr>
        <w:t xml:space="preserve"> </w:t>
      </w:r>
      <w:r w:rsidR="004C5E07" w:rsidRPr="007C62CD">
        <w:rPr>
          <w:rFonts w:ascii="Poppins" w:eastAsia="Times New Roman" w:hAnsi="Poppins" w:cs="Poppins"/>
        </w:rPr>
        <w:t>Ponownie w procesie</w:t>
      </w:r>
      <w:r w:rsidR="00AB774C" w:rsidRPr="007C62CD">
        <w:rPr>
          <w:rFonts w:ascii="Poppins" w:eastAsia="Times New Roman" w:hAnsi="Poppins" w:cs="Poppins"/>
        </w:rPr>
        <w:t xml:space="preserve"> </w:t>
      </w:r>
      <w:r w:rsidR="00BE3A55" w:rsidRPr="007C62CD">
        <w:rPr>
          <w:rFonts w:ascii="Poppins" w:eastAsia="Times New Roman" w:hAnsi="Poppins" w:cs="Poppins"/>
        </w:rPr>
        <w:t>hamowani</w:t>
      </w:r>
      <w:r w:rsidR="004C5E07" w:rsidRPr="007C62CD">
        <w:rPr>
          <w:rFonts w:ascii="Poppins" w:eastAsia="Times New Roman" w:hAnsi="Poppins" w:cs="Poppins"/>
        </w:rPr>
        <w:t>a</w:t>
      </w:r>
      <w:r w:rsidR="00BE3A55" w:rsidRPr="007C62CD">
        <w:rPr>
          <w:rFonts w:ascii="Poppins" w:eastAsia="Times New Roman" w:hAnsi="Poppins" w:cs="Poppins"/>
        </w:rPr>
        <w:t xml:space="preserve"> aktywności inwestycyjnej</w:t>
      </w:r>
      <w:r w:rsidR="004C5E07" w:rsidRPr="007C62CD">
        <w:rPr>
          <w:rFonts w:ascii="Poppins" w:eastAsia="Times New Roman" w:hAnsi="Poppins" w:cs="Poppins"/>
        </w:rPr>
        <w:t xml:space="preserve"> </w:t>
      </w:r>
      <w:r w:rsidR="00614668" w:rsidRPr="007C62CD">
        <w:rPr>
          <w:rFonts w:ascii="Poppins" w:eastAsia="Times New Roman" w:hAnsi="Poppins" w:cs="Poppins"/>
        </w:rPr>
        <w:t xml:space="preserve">zdecydowanie przodują </w:t>
      </w:r>
      <w:r w:rsidR="0027344D" w:rsidRPr="007C62CD">
        <w:rPr>
          <w:rFonts w:ascii="Poppins" w:eastAsia="Times New Roman" w:hAnsi="Poppins" w:cs="Poppins"/>
        </w:rPr>
        <w:t>deweloper</w:t>
      </w:r>
      <w:r w:rsidR="004C5E07" w:rsidRPr="007C62CD">
        <w:rPr>
          <w:rFonts w:ascii="Poppins" w:eastAsia="Times New Roman" w:hAnsi="Poppins" w:cs="Poppins"/>
        </w:rPr>
        <w:t>zy</w:t>
      </w:r>
      <w:r w:rsidR="00AB774C" w:rsidRPr="007C62CD">
        <w:rPr>
          <w:rFonts w:ascii="Poppins" w:eastAsia="Times New Roman" w:hAnsi="Poppins" w:cs="Poppins"/>
        </w:rPr>
        <w:t>,</w:t>
      </w:r>
      <w:r w:rsidR="004C5E07" w:rsidRPr="007C62CD">
        <w:rPr>
          <w:rFonts w:ascii="Poppins" w:eastAsia="Times New Roman" w:hAnsi="Poppins" w:cs="Poppins"/>
        </w:rPr>
        <w:t xml:space="preserve"> któr</w:t>
      </w:r>
      <w:r w:rsidR="00614668" w:rsidRPr="007C62CD">
        <w:rPr>
          <w:rFonts w:ascii="Poppins" w:eastAsia="Times New Roman" w:hAnsi="Poppins" w:cs="Poppins"/>
        </w:rPr>
        <w:t>zy</w:t>
      </w:r>
      <w:r w:rsidR="004C5E07" w:rsidRPr="007C62CD">
        <w:rPr>
          <w:rFonts w:ascii="Poppins" w:eastAsia="Times New Roman" w:hAnsi="Poppins" w:cs="Poppins"/>
        </w:rPr>
        <w:t xml:space="preserve"> </w:t>
      </w:r>
      <w:r w:rsidR="00614668" w:rsidRPr="007C62CD">
        <w:rPr>
          <w:rFonts w:ascii="Poppins" w:eastAsia="Times New Roman" w:hAnsi="Poppins" w:cs="Poppins"/>
        </w:rPr>
        <w:t>wypadają w każdym niemal punkcie gusowskich danych znacznie gorzej niż</w:t>
      </w:r>
      <w:r w:rsidR="004C5E07" w:rsidRPr="007C62CD">
        <w:rPr>
          <w:rFonts w:ascii="Poppins" w:eastAsia="Times New Roman" w:hAnsi="Poppins" w:cs="Poppins"/>
        </w:rPr>
        <w:t xml:space="preserve"> inwestorzy budujący na własne potrzeby. </w:t>
      </w:r>
    </w:p>
    <w:p w14:paraId="460F973C" w14:textId="3C50E86B" w:rsidR="00DA1A06" w:rsidRPr="007C62CD" w:rsidRDefault="00892E11" w:rsidP="003821F9">
      <w:pPr>
        <w:shd w:val="clear" w:color="auto" w:fill="FFFFFF"/>
        <w:spacing w:before="120" w:after="120" w:line="240" w:lineRule="auto"/>
        <w:jc w:val="both"/>
        <w:rPr>
          <w:rFonts w:ascii="Poppins" w:eastAsia="Times New Roman" w:hAnsi="Poppins" w:cs="Poppins"/>
        </w:rPr>
      </w:pPr>
      <w:r>
        <w:rPr>
          <w:rFonts w:ascii="Poppins" w:eastAsia="Times New Roman" w:hAnsi="Poppins" w:cs="Poppins"/>
        </w:rPr>
        <w:t xml:space="preserve">Jak wskazują eksperci portalu </w:t>
      </w:r>
      <w:hyperlink r:id="rId8" w:history="1">
        <w:r w:rsidRPr="00892E11">
          <w:rPr>
            <w:rStyle w:val="Hipercze"/>
            <w:rFonts w:ascii="Poppins" w:eastAsia="Times New Roman" w:hAnsi="Poppins" w:cs="Poppins"/>
          </w:rPr>
          <w:t>RynekPierwotny.pl</w:t>
        </w:r>
      </w:hyperlink>
      <w:r>
        <w:rPr>
          <w:rFonts w:ascii="Poppins" w:eastAsia="Times New Roman" w:hAnsi="Poppins" w:cs="Poppins"/>
        </w:rPr>
        <w:t>, s</w:t>
      </w:r>
      <w:r w:rsidR="004C5E07" w:rsidRPr="007C62CD">
        <w:rPr>
          <w:rFonts w:ascii="Poppins" w:eastAsia="Times New Roman" w:hAnsi="Poppins" w:cs="Poppins"/>
        </w:rPr>
        <w:t>zczególnie niepokojąco prezentują się dane najbardziej istotne z punktu widzenia stanu bieżącej koniunktury, czyli dotyczące mieszkań, których budowę rozpoczęto.</w:t>
      </w:r>
      <w:r w:rsidR="00AB774C" w:rsidRPr="007C62CD">
        <w:rPr>
          <w:rFonts w:ascii="Poppins" w:eastAsia="Times New Roman" w:hAnsi="Poppins" w:cs="Poppins"/>
        </w:rPr>
        <w:t xml:space="preserve"> </w:t>
      </w:r>
      <w:r w:rsidR="00036B59" w:rsidRPr="007C62CD">
        <w:rPr>
          <w:rFonts w:ascii="Poppins" w:eastAsia="Times New Roman" w:hAnsi="Poppins" w:cs="Poppins"/>
        </w:rPr>
        <w:t xml:space="preserve">Wygląda na to, że coraz bardziej dają o sobie znać </w:t>
      </w:r>
      <w:r w:rsidR="0027344D" w:rsidRPr="007C62CD">
        <w:rPr>
          <w:rFonts w:ascii="Poppins" w:eastAsia="Times New Roman" w:hAnsi="Poppins" w:cs="Poppins"/>
        </w:rPr>
        <w:t>obaw</w:t>
      </w:r>
      <w:r w:rsidR="00036B59" w:rsidRPr="007C62CD">
        <w:rPr>
          <w:rFonts w:ascii="Poppins" w:eastAsia="Times New Roman" w:hAnsi="Poppins" w:cs="Poppins"/>
        </w:rPr>
        <w:t>y</w:t>
      </w:r>
      <w:r w:rsidR="00AB774C" w:rsidRPr="007C62CD">
        <w:rPr>
          <w:rFonts w:ascii="Poppins" w:eastAsia="Times New Roman" w:hAnsi="Poppins" w:cs="Poppins"/>
        </w:rPr>
        <w:t xml:space="preserve"> budowniczych mieszkań</w:t>
      </w:r>
      <w:r w:rsidR="00CF6C53" w:rsidRPr="007C62CD">
        <w:rPr>
          <w:rFonts w:ascii="Poppins" w:eastAsia="Times New Roman" w:hAnsi="Poppins" w:cs="Poppins"/>
        </w:rPr>
        <w:t xml:space="preserve"> </w:t>
      </w:r>
      <w:r w:rsidR="00036B59" w:rsidRPr="007C62CD">
        <w:rPr>
          <w:rFonts w:ascii="Poppins" w:eastAsia="Times New Roman" w:hAnsi="Poppins" w:cs="Poppins"/>
        </w:rPr>
        <w:t>o</w:t>
      </w:r>
      <w:r w:rsidR="00AB774C" w:rsidRPr="007C62CD">
        <w:rPr>
          <w:rFonts w:ascii="Poppins" w:eastAsia="Times New Roman" w:hAnsi="Poppins" w:cs="Poppins"/>
        </w:rPr>
        <w:t xml:space="preserve"> perspektyw</w:t>
      </w:r>
      <w:r w:rsidR="00036B59" w:rsidRPr="007C62CD">
        <w:rPr>
          <w:rFonts w:ascii="Poppins" w:eastAsia="Times New Roman" w:hAnsi="Poppins" w:cs="Poppins"/>
        </w:rPr>
        <w:t>y</w:t>
      </w:r>
      <w:r w:rsidR="00AB774C" w:rsidRPr="007C62CD">
        <w:rPr>
          <w:rFonts w:ascii="Poppins" w:eastAsia="Times New Roman" w:hAnsi="Poppins" w:cs="Poppins"/>
        </w:rPr>
        <w:t xml:space="preserve"> rozwoju</w:t>
      </w:r>
      <w:r w:rsidR="0027344D" w:rsidRPr="007C62CD">
        <w:rPr>
          <w:rFonts w:ascii="Poppins" w:eastAsia="Times New Roman" w:hAnsi="Poppins" w:cs="Poppins"/>
        </w:rPr>
        <w:t xml:space="preserve"> koniunktury sprzedażowej nowych mieszkań </w:t>
      </w:r>
      <w:r w:rsidR="00036B59" w:rsidRPr="007C62CD">
        <w:rPr>
          <w:rFonts w:ascii="Poppins" w:eastAsia="Times New Roman" w:hAnsi="Poppins" w:cs="Poppins"/>
        </w:rPr>
        <w:t>w przewidywalnej perspektywie</w:t>
      </w:r>
      <w:r w:rsidR="0027344D" w:rsidRPr="007C62CD">
        <w:rPr>
          <w:rFonts w:ascii="Poppins" w:eastAsia="Times New Roman" w:hAnsi="Poppins" w:cs="Poppins"/>
        </w:rPr>
        <w:t>.</w:t>
      </w:r>
    </w:p>
    <w:p w14:paraId="2299C095" w14:textId="1091D276" w:rsidR="00DA1A06" w:rsidRPr="007C62CD" w:rsidRDefault="00CF6C53" w:rsidP="003F01DB">
      <w:pPr>
        <w:shd w:val="clear" w:color="auto" w:fill="FFFFFF"/>
        <w:spacing w:before="120" w:after="120" w:line="240" w:lineRule="auto"/>
        <w:jc w:val="both"/>
        <w:rPr>
          <w:rFonts w:ascii="Poppins" w:eastAsia="Times New Roman" w:hAnsi="Poppins" w:cs="Poppins"/>
          <w:bCs/>
        </w:rPr>
      </w:pPr>
      <w:r w:rsidRPr="007C62CD">
        <w:rPr>
          <w:rFonts w:ascii="Poppins" w:eastAsia="Times New Roman" w:hAnsi="Poppins" w:cs="Poppins"/>
          <w:bCs/>
        </w:rPr>
        <w:t xml:space="preserve">W </w:t>
      </w:r>
      <w:r w:rsidR="00DA1A06" w:rsidRPr="007C62CD">
        <w:rPr>
          <w:rFonts w:ascii="Poppins" w:eastAsia="Times New Roman" w:hAnsi="Poppins" w:cs="Poppins"/>
          <w:bCs/>
          <w:lang w:val="ru-RU"/>
        </w:rPr>
        <w:t>ubiegłym miesiącu inwestorzy ruszyli</w:t>
      </w:r>
      <w:r w:rsidRPr="007C62CD">
        <w:rPr>
          <w:rFonts w:ascii="Poppins" w:eastAsia="Times New Roman" w:hAnsi="Poppins" w:cs="Poppins"/>
          <w:bCs/>
        </w:rPr>
        <w:t xml:space="preserve"> ogółem</w:t>
      </w:r>
      <w:r w:rsidR="00DA1A06" w:rsidRPr="007C62CD">
        <w:rPr>
          <w:rFonts w:ascii="Poppins" w:eastAsia="Times New Roman" w:hAnsi="Poppins" w:cs="Poppins"/>
          <w:bCs/>
          <w:lang w:val="ru-RU"/>
        </w:rPr>
        <w:t xml:space="preserve"> z budową</w:t>
      </w:r>
      <w:r w:rsidR="00CB5922" w:rsidRPr="007C62CD">
        <w:rPr>
          <w:rFonts w:ascii="Poppins" w:eastAsia="Times New Roman" w:hAnsi="Poppins" w:cs="Poppins"/>
          <w:bCs/>
        </w:rPr>
        <w:t xml:space="preserve"> </w:t>
      </w:r>
      <w:r w:rsidRPr="007C62CD">
        <w:rPr>
          <w:rFonts w:ascii="Poppins" w:eastAsia="Times New Roman" w:hAnsi="Poppins" w:cs="Poppins"/>
          <w:bCs/>
        </w:rPr>
        <w:t>1</w:t>
      </w:r>
      <w:r w:rsidR="00CB5922" w:rsidRPr="007C62CD">
        <w:rPr>
          <w:rFonts w:ascii="Poppins" w:eastAsia="Times New Roman" w:hAnsi="Poppins" w:cs="Poppins"/>
          <w:bCs/>
        </w:rPr>
        <w:t>6</w:t>
      </w:r>
      <w:r w:rsidR="00DA1A06" w:rsidRPr="007C62CD">
        <w:rPr>
          <w:rFonts w:ascii="Poppins" w:eastAsia="Times New Roman" w:hAnsi="Poppins" w:cs="Poppins"/>
          <w:bCs/>
          <w:lang w:val="ru-RU"/>
        </w:rPr>
        <w:t xml:space="preserve"> tys. mieszkań, co jest rezultatem</w:t>
      </w:r>
      <w:r w:rsidR="00CB5922" w:rsidRPr="007C62CD">
        <w:rPr>
          <w:rFonts w:ascii="Poppins" w:eastAsia="Times New Roman" w:hAnsi="Poppins" w:cs="Poppins"/>
          <w:bCs/>
        </w:rPr>
        <w:t xml:space="preserve"> </w:t>
      </w:r>
      <w:r w:rsidR="00DA1A06" w:rsidRPr="007C62CD">
        <w:rPr>
          <w:rFonts w:ascii="Poppins" w:eastAsia="Times New Roman" w:hAnsi="Poppins" w:cs="Poppins"/>
          <w:bCs/>
          <w:lang w:val="ru-RU"/>
        </w:rPr>
        <w:t>o</w:t>
      </w:r>
      <w:r w:rsidR="00614668" w:rsidRPr="007C62CD">
        <w:rPr>
          <w:rFonts w:ascii="Poppins" w:eastAsia="Times New Roman" w:hAnsi="Poppins" w:cs="Poppins"/>
          <w:bCs/>
        </w:rPr>
        <w:t xml:space="preserve"> blisko</w:t>
      </w:r>
      <w:r w:rsidR="00DA1A06" w:rsidRPr="007C62CD">
        <w:rPr>
          <w:rFonts w:ascii="Poppins" w:eastAsia="Times New Roman" w:hAnsi="Poppins" w:cs="Poppins"/>
          <w:bCs/>
          <w:lang w:val="ru-RU"/>
        </w:rPr>
        <w:t xml:space="preserve"> </w:t>
      </w:r>
      <w:r w:rsidR="00CB5922" w:rsidRPr="007C62CD">
        <w:rPr>
          <w:rFonts w:ascii="Poppins" w:eastAsia="Times New Roman" w:hAnsi="Poppins" w:cs="Poppins"/>
          <w:bCs/>
        </w:rPr>
        <w:t xml:space="preserve">jedną </w:t>
      </w:r>
      <w:r w:rsidR="00614668" w:rsidRPr="007C62CD">
        <w:rPr>
          <w:rFonts w:ascii="Poppins" w:eastAsia="Times New Roman" w:hAnsi="Poppins" w:cs="Poppins"/>
          <w:bCs/>
        </w:rPr>
        <w:t xml:space="preserve">piątą </w:t>
      </w:r>
      <w:r w:rsidR="0027344D" w:rsidRPr="007C62CD">
        <w:rPr>
          <w:rFonts w:ascii="Poppins" w:eastAsia="Times New Roman" w:hAnsi="Poppins" w:cs="Poppins"/>
          <w:bCs/>
        </w:rPr>
        <w:t>gorszym</w:t>
      </w:r>
      <w:r w:rsidR="00D77FAB">
        <w:rPr>
          <w:rFonts w:ascii="Poppins" w:eastAsia="Times New Roman" w:hAnsi="Poppins" w:cs="Poppins"/>
          <w:bCs/>
        </w:rPr>
        <w:t>,</w:t>
      </w:r>
      <w:r w:rsidR="00DA1A06" w:rsidRPr="007C62CD">
        <w:rPr>
          <w:rFonts w:ascii="Poppins" w:eastAsia="Times New Roman" w:hAnsi="Poppins" w:cs="Poppins"/>
          <w:bCs/>
        </w:rPr>
        <w:t xml:space="preserve"> </w:t>
      </w:r>
      <w:r w:rsidR="00614668" w:rsidRPr="007C62CD">
        <w:rPr>
          <w:rFonts w:ascii="Poppins" w:eastAsia="Times New Roman" w:hAnsi="Poppins" w:cs="Poppins"/>
          <w:bCs/>
        </w:rPr>
        <w:t xml:space="preserve">zarówno </w:t>
      </w:r>
      <w:r w:rsidR="00DA1A06" w:rsidRPr="007C62CD">
        <w:rPr>
          <w:rFonts w:ascii="Poppins" w:eastAsia="Times New Roman" w:hAnsi="Poppins" w:cs="Poppins"/>
          <w:bCs/>
          <w:lang w:val="ru-RU"/>
        </w:rPr>
        <w:t xml:space="preserve">od uzyskanego w </w:t>
      </w:r>
      <w:r w:rsidR="00B56979" w:rsidRPr="007C62CD">
        <w:rPr>
          <w:rFonts w:ascii="Poppins" w:eastAsia="Times New Roman" w:hAnsi="Poppins" w:cs="Poppins"/>
          <w:bCs/>
        </w:rPr>
        <w:t>sierpniu</w:t>
      </w:r>
      <w:r w:rsidR="00DA1A06" w:rsidRPr="007C62CD">
        <w:rPr>
          <w:rFonts w:ascii="Poppins" w:eastAsia="Times New Roman" w:hAnsi="Poppins" w:cs="Poppins"/>
          <w:bCs/>
          <w:lang w:val="ru-RU"/>
        </w:rPr>
        <w:t xml:space="preserve"> ub. </w:t>
      </w:r>
      <w:r w:rsidR="00E10126">
        <w:rPr>
          <w:rFonts w:ascii="Poppins" w:eastAsia="Times New Roman" w:hAnsi="Poppins" w:cs="Poppins"/>
          <w:bCs/>
        </w:rPr>
        <w:t>r</w:t>
      </w:r>
      <w:r w:rsidR="000C1227" w:rsidRPr="007C62CD">
        <w:rPr>
          <w:rFonts w:ascii="Poppins" w:eastAsia="Times New Roman" w:hAnsi="Poppins" w:cs="Poppins"/>
          <w:bCs/>
        </w:rPr>
        <w:t>oku</w:t>
      </w:r>
      <w:r w:rsidR="00D77FAB">
        <w:rPr>
          <w:rFonts w:ascii="Poppins" w:eastAsia="Times New Roman" w:hAnsi="Poppins" w:cs="Poppins"/>
          <w:bCs/>
        </w:rPr>
        <w:t>,</w:t>
      </w:r>
      <w:r w:rsidR="000C1227" w:rsidRPr="007C62CD">
        <w:rPr>
          <w:rFonts w:ascii="Poppins" w:eastAsia="Times New Roman" w:hAnsi="Poppins" w:cs="Poppins"/>
          <w:bCs/>
        </w:rPr>
        <w:t xml:space="preserve"> </w:t>
      </w:r>
      <w:r w:rsidR="00614668" w:rsidRPr="007C62CD">
        <w:rPr>
          <w:rFonts w:ascii="Poppins" w:eastAsia="Times New Roman" w:hAnsi="Poppins" w:cs="Poppins"/>
          <w:bCs/>
        </w:rPr>
        <w:t xml:space="preserve">jak i </w:t>
      </w:r>
      <w:r w:rsidR="00DA1A06" w:rsidRPr="007C62CD">
        <w:rPr>
          <w:rFonts w:ascii="Poppins" w:eastAsia="Times New Roman" w:hAnsi="Poppins" w:cs="Poppins"/>
          <w:bCs/>
        </w:rPr>
        <w:t>licząc miesiąc do miesiąca</w:t>
      </w:r>
      <w:r w:rsidR="00DA1A06" w:rsidRPr="007C62CD">
        <w:rPr>
          <w:rFonts w:ascii="Poppins" w:eastAsia="Times New Roman" w:hAnsi="Poppins" w:cs="Poppins"/>
          <w:bCs/>
          <w:lang w:val="ru-RU"/>
        </w:rPr>
        <w:t xml:space="preserve">. </w:t>
      </w:r>
      <w:r w:rsidR="00614668" w:rsidRPr="007C62CD">
        <w:rPr>
          <w:rFonts w:ascii="Poppins" w:eastAsia="Times New Roman" w:hAnsi="Poppins" w:cs="Poppins"/>
          <w:bCs/>
        </w:rPr>
        <w:t>Ponownie</w:t>
      </w:r>
      <w:r w:rsidR="00CB5922" w:rsidRPr="007C62CD">
        <w:rPr>
          <w:rFonts w:ascii="Poppins" w:eastAsia="Times New Roman" w:hAnsi="Poppins" w:cs="Poppins"/>
          <w:bCs/>
        </w:rPr>
        <w:t xml:space="preserve"> mocne tąpnięcie zaliczyli</w:t>
      </w:r>
      <w:r w:rsidR="00DA1A06" w:rsidRPr="007C62CD">
        <w:rPr>
          <w:rFonts w:ascii="Poppins" w:eastAsia="Times New Roman" w:hAnsi="Poppins" w:cs="Poppins"/>
          <w:bCs/>
        </w:rPr>
        <w:t xml:space="preserve"> </w:t>
      </w:r>
      <w:r w:rsidR="002542B4" w:rsidRPr="007C62CD">
        <w:rPr>
          <w:rFonts w:ascii="Poppins" w:eastAsia="Times New Roman" w:hAnsi="Poppins" w:cs="Poppins"/>
          <w:bCs/>
        </w:rPr>
        <w:t xml:space="preserve">deweloperzy </w:t>
      </w:r>
      <w:r w:rsidR="00DA1A06" w:rsidRPr="007C62CD">
        <w:rPr>
          <w:rFonts w:ascii="Poppins" w:eastAsia="Times New Roman" w:hAnsi="Poppins" w:cs="Poppins"/>
          <w:bCs/>
        </w:rPr>
        <w:t>z wynikiem</w:t>
      </w:r>
      <w:r w:rsidR="00686FBC" w:rsidRPr="007C62CD">
        <w:rPr>
          <w:rFonts w:ascii="Poppins" w:eastAsia="Times New Roman" w:hAnsi="Poppins" w:cs="Poppins"/>
          <w:bCs/>
        </w:rPr>
        <w:t xml:space="preserve"> </w:t>
      </w:r>
      <w:r w:rsidRPr="007C62CD">
        <w:rPr>
          <w:rFonts w:ascii="Poppins" w:eastAsia="Times New Roman" w:hAnsi="Poppins" w:cs="Poppins"/>
          <w:bCs/>
        </w:rPr>
        <w:t xml:space="preserve">zaledwie </w:t>
      </w:r>
      <w:r w:rsidR="00CB5922" w:rsidRPr="007C62CD">
        <w:rPr>
          <w:rFonts w:ascii="Poppins" w:eastAsia="Times New Roman" w:hAnsi="Poppins" w:cs="Poppins"/>
          <w:bCs/>
        </w:rPr>
        <w:t>8,</w:t>
      </w:r>
      <w:r w:rsidR="00614668" w:rsidRPr="007C62CD">
        <w:rPr>
          <w:rFonts w:ascii="Poppins" w:eastAsia="Times New Roman" w:hAnsi="Poppins" w:cs="Poppins"/>
          <w:bCs/>
        </w:rPr>
        <w:t>3</w:t>
      </w:r>
      <w:r w:rsidR="00DA1A06" w:rsidRPr="007C62CD">
        <w:rPr>
          <w:rFonts w:ascii="Poppins" w:eastAsia="Times New Roman" w:hAnsi="Poppins" w:cs="Poppins"/>
          <w:bCs/>
        </w:rPr>
        <w:t xml:space="preserve"> tys. rozpoczętych lokali</w:t>
      </w:r>
      <w:r w:rsidR="00C90A7E" w:rsidRPr="007C62CD">
        <w:rPr>
          <w:rFonts w:ascii="Poppins" w:eastAsia="Times New Roman" w:hAnsi="Poppins" w:cs="Poppins"/>
          <w:bCs/>
        </w:rPr>
        <w:t>. To</w:t>
      </w:r>
      <w:r w:rsidRPr="007C62CD">
        <w:rPr>
          <w:rFonts w:ascii="Poppins" w:eastAsia="Times New Roman" w:hAnsi="Poppins" w:cs="Poppins"/>
          <w:bCs/>
        </w:rPr>
        <w:t xml:space="preserve"> </w:t>
      </w:r>
      <w:r w:rsidR="000C1227" w:rsidRPr="007C62CD">
        <w:rPr>
          <w:rFonts w:ascii="Poppins" w:eastAsia="Times New Roman" w:hAnsi="Poppins" w:cs="Poppins"/>
          <w:bCs/>
        </w:rPr>
        <w:t>jeden z</w:t>
      </w:r>
      <w:r w:rsidR="00614668" w:rsidRPr="007C62CD">
        <w:rPr>
          <w:rFonts w:ascii="Poppins" w:eastAsia="Times New Roman" w:hAnsi="Poppins" w:cs="Poppins"/>
          <w:bCs/>
        </w:rPr>
        <w:t xml:space="preserve"> trzech</w:t>
      </w:r>
      <w:r w:rsidR="00CB5922" w:rsidRPr="007C62CD">
        <w:rPr>
          <w:rFonts w:ascii="Poppins" w:eastAsia="Times New Roman" w:hAnsi="Poppins" w:cs="Poppins"/>
          <w:bCs/>
        </w:rPr>
        <w:t xml:space="preserve"> </w:t>
      </w:r>
      <w:r w:rsidR="0083142A" w:rsidRPr="007C62CD">
        <w:rPr>
          <w:rFonts w:ascii="Poppins" w:eastAsia="Times New Roman" w:hAnsi="Poppins" w:cs="Poppins"/>
          <w:bCs/>
        </w:rPr>
        <w:t xml:space="preserve">ich </w:t>
      </w:r>
      <w:r w:rsidR="000C1227" w:rsidRPr="007C62CD">
        <w:rPr>
          <w:rFonts w:ascii="Poppins" w:eastAsia="Times New Roman" w:hAnsi="Poppins" w:cs="Poppins"/>
          <w:bCs/>
        </w:rPr>
        <w:t>najsłabszych wyników licząc od połowy 2023 r.</w:t>
      </w:r>
      <w:r w:rsidR="00614668" w:rsidRPr="007C62CD">
        <w:rPr>
          <w:rFonts w:ascii="Poppins" w:eastAsia="Times New Roman" w:hAnsi="Poppins" w:cs="Poppins"/>
          <w:bCs/>
        </w:rPr>
        <w:t xml:space="preserve">, gorszy o 30 i 35 proc. licząc odpowiednio mdm i rdr. </w:t>
      </w:r>
      <w:r w:rsidR="000C1227" w:rsidRPr="007C62CD">
        <w:rPr>
          <w:rFonts w:ascii="Poppins" w:eastAsia="Times New Roman" w:hAnsi="Poppins" w:cs="Poppins"/>
          <w:bCs/>
        </w:rPr>
        <w:t xml:space="preserve"> </w:t>
      </w:r>
    </w:p>
    <w:p w14:paraId="7F7DE366" w14:textId="2F67DE4D" w:rsidR="00DA1A06" w:rsidRPr="007C62CD" w:rsidRDefault="00CF6C53" w:rsidP="003F01DB">
      <w:pPr>
        <w:shd w:val="clear" w:color="auto" w:fill="FFFFFF"/>
        <w:spacing w:before="120" w:after="120" w:line="240" w:lineRule="auto"/>
        <w:jc w:val="both"/>
        <w:rPr>
          <w:rFonts w:ascii="Poppins" w:eastAsia="Times New Roman" w:hAnsi="Poppins" w:cs="Poppins"/>
          <w:bCs/>
        </w:rPr>
      </w:pPr>
      <w:r w:rsidRPr="007C62CD">
        <w:rPr>
          <w:rFonts w:ascii="Poppins" w:eastAsia="Times New Roman" w:hAnsi="Poppins" w:cs="Poppins"/>
          <w:bCs/>
        </w:rPr>
        <w:t xml:space="preserve">Tymczasem </w:t>
      </w:r>
      <w:r w:rsidR="00CB5922" w:rsidRPr="007C62CD">
        <w:rPr>
          <w:rFonts w:ascii="Poppins" w:eastAsia="Times New Roman" w:hAnsi="Poppins" w:cs="Poppins"/>
          <w:bCs/>
        </w:rPr>
        <w:t xml:space="preserve">w </w:t>
      </w:r>
      <w:r w:rsidR="00614668" w:rsidRPr="007C62CD">
        <w:rPr>
          <w:rFonts w:ascii="Poppins" w:eastAsia="Times New Roman" w:hAnsi="Poppins" w:cs="Poppins"/>
          <w:bCs/>
        </w:rPr>
        <w:t xml:space="preserve">okresie ośmiu miesięcy </w:t>
      </w:r>
      <w:r w:rsidRPr="007C62CD">
        <w:rPr>
          <w:rFonts w:ascii="Poppins" w:eastAsia="Times New Roman" w:hAnsi="Poppins" w:cs="Poppins"/>
          <w:bCs/>
        </w:rPr>
        <w:t>bieżącego roku</w:t>
      </w:r>
      <w:r w:rsidR="00DA1A06" w:rsidRPr="007C62CD">
        <w:rPr>
          <w:rFonts w:ascii="Poppins" w:eastAsia="Times New Roman" w:hAnsi="Poppins" w:cs="Poppins"/>
          <w:bCs/>
          <w:lang w:val="ru-RU"/>
        </w:rPr>
        <w:t xml:space="preserve"> w Polsce ruszyła budowa</w:t>
      </w:r>
      <w:r w:rsidR="00E3223A" w:rsidRPr="007C62CD">
        <w:rPr>
          <w:rFonts w:ascii="Poppins" w:eastAsia="Times New Roman" w:hAnsi="Poppins" w:cs="Poppins"/>
          <w:bCs/>
        </w:rPr>
        <w:t xml:space="preserve"> </w:t>
      </w:r>
      <w:r w:rsidR="000C1227" w:rsidRPr="007C62CD">
        <w:rPr>
          <w:rFonts w:ascii="Poppins" w:eastAsia="Times New Roman" w:hAnsi="Poppins" w:cs="Poppins"/>
          <w:bCs/>
        </w:rPr>
        <w:t xml:space="preserve">blisko </w:t>
      </w:r>
      <w:r w:rsidR="00614668" w:rsidRPr="007C62CD">
        <w:rPr>
          <w:rFonts w:ascii="Poppins" w:eastAsia="Times New Roman" w:hAnsi="Poppins" w:cs="Poppins"/>
          <w:bCs/>
        </w:rPr>
        <w:t>147</w:t>
      </w:r>
      <w:r w:rsidR="00DA1A06" w:rsidRPr="007C62CD">
        <w:rPr>
          <w:rFonts w:ascii="Poppins" w:eastAsia="Times New Roman" w:hAnsi="Poppins" w:cs="Poppins"/>
          <w:bCs/>
          <w:lang w:val="ru-RU"/>
        </w:rPr>
        <w:t xml:space="preserve"> tys. mieszkań i domów, </w:t>
      </w:r>
      <w:r w:rsidR="00686FBC" w:rsidRPr="007C62CD">
        <w:rPr>
          <w:rFonts w:ascii="Poppins" w:eastAsia="Times New Roman" w:hAnsi="Poppins" w:cs="Poppins"/>
          <w:bCs/>
        </w:rPr>
        <w:t>co oznacza</w:t>
      </w:r>
      <w:r w:rsidR="00CB5922" w:rsidRPr="007C62CD">
        <w:rPr>
          <w:rFonts w:ascii="Poppins" w:eastAsia="Times New Roman" w:hAnsi="Poppins" w:cs="Poppins"/>
          <w:bCs/>
        </w:rPr>
        <w:t xml:space="preserve"> prawie 10-procentowy</w:t>
      </w:r>
      <w:r w:rsidR="000C1227" w:rsidRPr="007C62CD">
        <w:rPr>
          <w:rFonts w:ascii="Poppins" w:eastAsia="Times New Roman" w:hAnsi="Poppins" w:cs="Poppins"/>
          <w:bCs/>
        </w:rPr>
        <w:t xml:space="preserve"> regres</w:t>
      </w:r>
      <w:r w:rsidR="00BB2CD6" w:rsidRPr="007C62CD">
        <w:rPr>
          <w:rFonts w:ascii="Poppins" w:eastAsia="Times New Roman" w:hAnsi="Poppins" w:cs="Poppins"/>
          <w:bCs/>
        </w:rPr>
        <w:t xml:space="preserve"> w odniesieniu do</w:t>
      </w:r>
      <w:r w:rsidR="00686FBC" w:rsidRPr="007C62CD">
        <w:rPr>
          <w:rFonts w:ascii="Poppins" w:eastAsia="Times New Roman" w:hAnsi="Poppins" w:cs="Poppins"/>
          <w:bCs/>
        </w:rPr>
        <w:t xml:space="preserve"> analogicznego okresu ub. roku</w:t>
      </w:r>
      <w:r w:rsidR="000C1227" w:rsidRPr="007C62CD">
        <w:rPr>
          <w:rFonts w:ascii="Poppins" w:eastAsia="Times New Roman" w:hAnsi="Poppins" w:cs="Poppins"/>
          <w:bCs/>
        </w:rPr>
        <w:t>.</w:t>
      </w:r>
      <w:r w:rsidR="00E95E22" w:rsidRPr="007C62CD">
        <w:rPr>
          <w:rFonts w:ascii="Poppins" w:eastAsia="Times New Roman" w:hAnsi="Poppins" w:cs="Poppins"/>
          <w:bCs/>
        </w:rPr>
        <w:t xml:space="preserve"> </w:t>
      </w:r>
      <w:r w:rsidRPr="007C62CD">
        <w:rPr>
          <w:rFonts w:ascii="Poppins" w:eastAsia="Times New Roman" w:hAnsi="Poppins" w:cs="Poppins"/>
          <w:bCs/>
        </w:rPr>
        <w:t>Z kolei</w:t>
      </w:r>
      <w:r w:rsidR="00E95E22" w:rsidRPr="007C62CD">
        <w:rPr>
          <w:rFonts w:ascii="Poppins" w:eastAsia="Times New Roman" w:hAnsi="Poppins" w:cs="Poppins"/>
          <w:bCs/>
        </w:rPr>
        <w:t xml:space="preserve"> deweloperzy </w:t>
      </w:r>
      <w:r w:rsidR="000C1227" w:rsidRPr="007C62CD">
        <w:rPr>
          <w:rFonts w:ascii="Poppins" w:eastAsia="Times New Roman" w:hAnsi="Poppins" w:cs="Poppins"/>
          <w:bCs/>
        </w:rPr>
        <w:t xml:space="preserve">uzyskali </w:t>
      </w:r>
      <w:r w:rsidR="00E95E22" w:rsidRPr="007C62CD">
        <w:rPr>
          <w:rFonts w:ascii="Poppins" w:eastAsia="Times New Roman" w:hAnsi="Poppins" w:cs="Poppins"/>
          <w:bCs/>
        </w:rPr>
        <w:t>wynik</w:t>
      </w:r>
      <w:r w:rsidR="00BB2CD6" w:rsidRPr="007C62CD">
        <w:rPr>
          <w:rFonts w:ascii="Poppins" w:eastAsia="Times New Roman" w:hAnsi="Poppins" w:cs="Poppins"/>
          <w:bCs/>
        </w:rPr>
        <w:t xml:space="preserve"> </w:t>
      </w:r>
      <w:r w:rsidR="00614668" w:rsidRPr="007C62CD">
        <w:rPr>
          <w:rFonts w:ascii="Poppins" w:eastAsia="Times New Roman" w:hAnsi="Poppins" w:cs="Poppins"/>
          <w:bCs/>
        </w:rPr>
        <w:t>88,5</w:t>
      </w:r>
      <w:r w:rsidR="00E95E22" w:rsidRPr="007C62CD">
        <w:rPr>
          <w:rFonts w:ascii="Poppins" w:eastAsia="Times New Roman" w:hAnsi="Poppins" w:cs="Poppins"/>
          <w:bCs/>
        </w:rPr>
        <w:t xml:space="preserve"> tys. lokali, czyli o </w:t>
      </w:r>
      <w:r w:rsidR="00CB5922" w:rsidRPr="007C62CD">
        <w:rPr>
          <w:rFonts w:ascii="Poppins" w:eastAsia="Times New Roman" w:hAnsi="Poppins" w:cs="Poppins"/>
          <w:bCs/>
        </w:rPr>
        <w:t>1</w:t>
      </w:r>
      <w:r w:rsidR="00614668" w:rsidRPr="007C62CD">
        <w:rPr>
          <w:rFonts w:ascii="Poppins" w:eastAsia="Times New Roman" w:hAnsi="Poppins" w:cs="Poppins"/>
          <w:bCs/>
        </w:rPr>
        <w:t>6</w:t>
      </w:r>
      <w:r w:rsidR="00CB5922" w:rsidRPr="007C62CD">
        <w:rPr>
          <w:rFonts w:ascii="Poppins" w:eastAsia="Times New Roman" w:hAnsi="Poppins" w:cs="Poppins"/>
          <w:bCs/>
        </w:rPr>
        <w:t xml:space="preserve"> proc.</w:t>
      </w:r>
      <w:r w:rsidRPr="007C62CD">
        <w:rPr>
          <w:rFonts w:ascii="Poppins" w:eastAsia="Times New Roman" w:hAnsi="Poppins" w:cs="Poppins"/>
          <w:bCs/>
        </w:rPr>
        <w:t xml:space="preserve"> słabszy</w:t>
      </w:r>
      <w:r w:rsidR="00E95E22" w:rsidRPr="007C62CD">
        <w:rPr>
          <w:rFonts w:ascii="Poppins" w:eastAsia="Times New Roman" w:hAnsi="Poppins" w:cs="Poppins"/>
          <w:bCs/>
        </w:rPr>
        <w:t xml:space="preserve"> w relacji rok do roku. </w:t>
      </w:r>
      <w:r w:rsidR="00E3223A" w:rsidRPr="007C62CD">
        <w:rPr>
          <w:rFonts w:ascii="Poppins" w:eastAsia="Times New Roman" w:hAnsi="Poppins" w:cs="Poppins"/>
          <w:bCs/>
        </w:rPr>
        <w:t>Tak</w:t>
      </w:r>
      <w:r w:rsidR="00E95E22" w:rsidRPr="007C62CD">
        <w:rPr>
          <w:rFonts w:ascii="Poppins" w:eastAsia="Times New Roman" w:hAnsi="Poppins" w:cs="Poppins"/>
          <w:bCs/>
        </w:rPr>
        <w:t>e</w:t>
      </w:r>
      <w:r w:rsidR="00E3223A" w:rsidRPr="007C62CD">
        <w:rPr>
          <w:rFonts w:ascii="Poppins" w:eastAsia="Times New Roman" w:hAnsi="Poppins" w:cs="Poppins"/>
          <w:bCs/>
        </w:rPr>
        <w:t xml:space="preserve"> rezultat</w:t>
      </w:r>
      <w:r w:rsidR="00E95E22" w:rsidRPr="007C62CD">
        <w:rPr>
          <w:rFonts w:ascii="Poppins" w:eastAsia="Times New Roman" w:hAnsi="Poppins" w:cs="Poppins"/>
          <w:bCs/>
        </w:rPr>
        <w:t>y</w:t>
      </w:r>
      <w:r w:rsidR="00BB2CD6" w:rsidRPr="007C62CD">
        <w:rPr>
          <w:rFonts w:ascii="Poppins" w:eastAsia="Times New Roman" w:hAnsi="Poppins" w:cs="Poppins"/>
          <w:bCs/>
        </w:rPr>
        <w:t xml:space="preserve"> </w:t>
      </w:r>
      <w:r w:rsidRPr="007C62CD">
        <w:rPr>
          <w:rFonts w:ascii="Poppins" w:eastAsia="Times New Roman" w:hAnsi="Poppins" w:cs="Poppins"/>
          <w:bCs/>
        </w:rPr>
        <w:t xml:space="preserve">jednoznacznie świadczą o </w:t>
      </w:r>
      <w:r w:rsidR="00CB5922" w:rsidRPr="007C62CD">
        <w:rPr>
          <w:rFonts w:ascii="Poppins" w:eastAsia="Times New Roman" w:hAnsi="Poppins" w:cs="Poppins"/>
          <w:bCs/>
        </w:rPr>
        <w:t xml:space="preserve">coraz bardziej niepokojącym, wyraźnie </w:t>
      </w:r>
      <w:r w:rsidRPr="007C62CD">
        <w:rPr>
          <w:rFonts w:ascii="Poppins" w:eastAsia="Times New Roman" w:hAnsi="Poppins" w:cs="Poppins"/>
          <w:bCs/>
        </w:rPr>
        <w:t>postępującym</w:t>
      </w:r>
      <w:r w:rsidR="006872FE" w:rsidRPr="007C62CD">
        <w:rPr>
          <w:rFonts w:ascii="Poppins" w:eastAsia="Times New Roman" w:hAnsi="Poppins" w:cs="Poppins"/>
          <w:bCs/>
        </w:rPr>
        <w:t xml:space="preserve"> hamowani</w:t>
      </w:r>
      <w:r w:rsidR="00E31551" w:rsidRPr="007C62CD">
        <w:rPr>
          <w:rFonts w:ascii="Poppins" w:eastAsia="Times New Roman" w:hAnsi="Poppins" w:cs="Poppins"/>
          <w:bCs/>
        </w:rPr>
        <w:t>u</w:t>
      </w:r>
      <w:r w:rsidR="00E3223A" w:rsidRPr="007C62CD">
        <w:rPr>
          <w:rFonts w:ascii="Poppins" w:eastAsia="Times New Roman" w:hAnsi="Poppins" w:cs="Poppins"/>
          <w:bCs/>
        </w:rPr>
        <w:t xml:space="preserve"> koniunktury inwestycyjnej pierwotnego rynku mieszkaniowego.</w:t>
      </w:r>
    </w:p>
    <w:p w14:paraId="38AC153D" w14:textId="2A467CB5" w:rsidR="007703BF" w:rsidRDefault="00E31551" w:rsidP="003F01DB">
      <w:pPr>
        <w:shd w:val="clear" w:color="auto" w:fill="FFFFFF"/>
        <w:spacing w:before="120" w:after="120" w:line="240" w:lineRule="auto"/>
        <w:jc w:val="both"/>
        <w:rPr>
          <w:rFonts w:ascii="Poppins" w:eastAsia="Times New Roman" w:hAnsi="Poppins" w:cs="Poppins"/>
          <w:bCs/>
        </w:rPr>
      </w:pPr>
      <w:r w:rsidRPr="007C62CD">
        <w:rPr>
          <w:rFonts w:ascii="Poppins" w:eastAsia="Times New Roman" w:hAnsi="Poppins" w:cs="Poppins"/>
          <w:bCs/>
        </w:rPr>
        <w:t xml:space="preserve">Niestety </w:t>
      </w:r>
      <w:r w:rsidR="00614668" w:rsidRPr="007C62CD">
        <w:rPr>
          <w:rFonts w:ascii="Poppins" w:eastAsia="Times New Roman" w:hAnsi="Poppins" w:cs="Poppins"/>
          <w:bCs/>
        </w:rPr>
        <w:t>jednocześnie równie słabo</w:t>
      </w:r>
      <w:r w:rsidR="00BB2CD6" w:rsidRPr="007C62CD">
        <w:rPr>
          <w:rFonts w:ascii="Poppins" w:eastAsia="Times New Roman" w:hAnsi="Poppins" w:cs="Poppins"/>
          <w:bCs/>
        </w:rPr>
        <w:t xml:space="preserve"> prezentują się </w:t>
      </w:r>
      <w:r w:rsidR="00DA1A06" w:rsidRPr="007C62CD">
        <w:rPr>
          <w:rFonts w:ascii="Poppins" w:eastAsia="Times New Roman" w:hAnsi="Poppins" w:cs="Poppins"/>
          <w:bCs/>
          <w:lang w:val="ru-RU"/>
        </w:rPr>
        <w:t>gusowskie dane dotyczące nowych pozwoleń na budowę lub zgłoszeń z projektem budowlanym</w:t>
      </w:r>
      <w:r w:rsidR="00135542" w:rsidRPr="007C62CD">
        <w:rPr>
          <w:rFonts w:ascii="Poppins" w:eastAsia="Times New Roman" w:hAnsi="Poppins" w:cs="Poppins"/>
          <w:bCs/>
        </w:rPr>
        <w:t xml:space="preserve">, </w:t>
      </w:r>
      <w:r w:rsidRPr="007C62CD">
        <w:rPr>
          <w:rFonts w:ascii="Poppins" w:eastAsia="Times New Roman" w:hAnsi="Poppins" w:cs="Poppins"/>
          <w:bCs/>
        </w:rPr>
        <w:t>choć w tym przypadku</w:t>
      </w:r>
      <w:r w:rsidR="00135542" w:rsidRPr="007C62CD">
        <w:rPr>
          <w:rFonts w:ascii="Poppins" w:eastAsia="Times New Roman" w:hAnsi="Poppins" w:cs="Poppins"/>
          <w:bCs/>
        </w:rPr>
        <w:t xml:space="preserve"> </w:t>
      </w:r>
      <w:r w:rsidR="00614668" w:rsidRPr="007C62CD">
        <w:rPr>
          <w:rFonts w:ascii="Poppins" w:eastAsia="Times New Roman" w:hAnsi="Poppins" w:cs="Poppins"/>
          <w:bCs/>
        </w:rPr>
        <w:t xml:space="preserve">zdecydowany regres </w:t>
      </w:r>
      <w:r w:rsidR="00135542" w:rsidRPr="007C62CD">
        <w:rPr>
          <w:rFonts w:ascii="Poppins" w:eastAsia="Times New Roman" w:hAnsi="Poppins" w:cs="Poppins"/>
          <w:bCs/>
        </w:rPr>
        <w:t>jest wyłącznie dziełem deweloperów.</w:t>
      </w:r>
      <w:r w:rsidR="002542B4" w:rsidRPr="007C62CD">
        <w:rPr>
          <w:rFonts w:ascii="Poppins" w:eastAsia="Times New Roman" w:hAnsi="Poppins" w:cs="Poppins"/>
          <w:bCs/>
        </w:rPr>
        <w:t xml:space="preserve"> </w:t>
      </w:r>
      <w:r w:rsidR="00DA1A06" w:rsidRPr="007C62CD">
        <w:rPr>
          <w:rFonts w:ascii="Poppins" w:eastAsia="Times New Roman" w:hAnsi="Poppins" w:cs="Poppins"/>
          <w:bCs/>
          <w:lang w:val="ru-RU"/>
        </w:rPr>
        <w:t>W sumie w</w:t>
      </w:r>
      <w:r w:rsidR="002542B4" w:rsidRPr="007C62CD">
        <w:rPr>
          <w:rFonts w:ascii="Poppins" w:eastAsia="Times New Roman" w:hAnsi="Poppins" w:cs="Poppins"/>
          <w:bCs/>
        </w:rPr>
        <w:t xml:space="preserve"> </w:t>
      </w:r>
      <w:r w:rsidR="00B56979" w:rsidRPr="007C62CD">
        <w:rPr>
          <w:rFonts w:ascii="Poppins" w:eastAsia="Times New Roman" w:hAnsi="Poppins" w:cs="Poppins"/>
          <w:bCs/>
        </w:rPr>
        <w:t>sierpniu</w:t>
      </w:r>
      <w:r w:rsidR="00DA1A06" w:rsidRPr="007C62CD">
        <w:rPr>
          <w:rFonts w:ascii="Poppins" w:eastAsia="Times New Roman" w:hAnsi="Poppins" w:cs="Poppins"/>
          <w:bCs/>
          <w:lang w:val="ru-RU"/>
        </w:rPr>
        <w:t xml:space="preserve"> w ramach wszystkich form budownictwa </w:t>
      </w:r>
      <w:r w:rsidR="00BB2CD6" w:rsidRPr="007C62CD">
        <w:rPr>
          <w:rFonts w:ascii="Poppins" w:eastAsia="Times New Roman" w:hAnsi="Poppins" w:cs="Poppins"/>
          <w:bCs/>
        </w:rPr>
        <w:t>pozyskano</w:t>
      </w:r>
      <w:r w:rsidR="00DA1A06" w:rsidRPr="007C62CD">
        <w:rPr>
          <w:rFonts w:ascii="Poppins" w:eastAsia="Times New Roman" w:hAnsi="Poppins" w:cs="Poppins"/>
          <w:bCs/>
          <w:lang w:val="ru-RU"/>
        </w:rPr>
        <w:t xml:space="preserve"> </w:t>
      </w:r>
      <w:r w:rsidR="00614668" w:rsidRPr="007C62CD">
        <w:rPr>
          <w:rFonts w:ascii="Poppins" w:eastAsia="Times New Roman" w:hAnsi="Poppins" w:cs="Poppins"/>
          <w:bCs/>
        </w:rPr>
        <w:t>nieco ponad</w:t>
      </w:r>
      <w:r w:rsidR="00135542" w:rsidRPr="007C62CD">
        <w:rPr>
          <w:rFonts w:ascii="Poppins" w:eastAsia="Times New Roman" w:hAnsi="Poppins" w:cs="Poppins"/>
          <w:bCs/>
        </w:rPr>
        <w:t xml:space="preserve"> 19</w:t>
      </w:r>
      <w:r w:rsidR="00DA1A06" w:rsidRPr="007C62CD">
        <w:rPr>
          <w:rFonts w:ascii="Poppins" w:eastAsia="Times New Roman" w:hAnsi="Poppins" w:cs="Poppins"/>
          <w:bCs/>
          <w:lang w:val="ru-RU"/>
        </w:rPr>
        <w:t xml:space="preserve"> tys.</w:t>
      </w:r>
      <w:r w:rsidR="00BB2CD6" w:rsidRPr="007C62CD">
        <w:rPr>
          <w:rFonts w:ascii="Poppins" w:eastAsia="Times New Roman" w:hAnsi="Poppins" w:cs="Poppins"/>
          <w:bCs/>
        </w:rPr>
        <w:t xml:space="preserve"> </w:t>
      </w:r>
      <w:r w:rsidR="00DA1A06" w:rsidRPr="007C62CD">
        <w:rPr>
          <w:rFonts w:ascii="Poppins" w:eastAsia="Times New Roman" w:hAnsi="Poppins" w:cs="Poppins"/>
          <w:bCs/>
          <w:lang w:val="ru-RU"/>
        </w:rPr>
        <w:t xml:space="preserve">decyzji administracyjnych, </w:t>
      </w:r>
      <w:r w:rsidRPr="007C62CD">
        <w:rPr>
          <w:rFonts w:ascii="Poppins" w:eastAsia="Times New Roman" w:hAnsi="Poppins" w:cs="Poppins"/>
          <w:bCs/>
        </w:rPr>
        <w:t xml:space="preserve">co oznacza </w:t>
      </w:r>
      <w:r w:rsidR="00135542" w:rsidRPr="007C62CD">
        <w:rPr>
          <w:rFonts w:ascii="Poppins" w:eastAsia="Times New Roman" w:hAnsi="Poppins" w:cs="Poppins"/>
          <w:bCs/>
        </w:rPr>
        <w:t>spadek</w:t>
      </w:r>
      <w:r w:rsidRPr="007C62CD">
        <w:rPr>
          <w:rFonts w:ascii="Poppins" w:eastAsia="Times New Roman" w:hAnsi="Poppins" w:cs="Poppins"/>
          <w:bCs/>
        </w:rPr>
        <w:t xml:space="preserve"> o </w:t>
      </w:r>
      <w:r w:rsidR="00614668" w:rsidRPr="007C62CD">
        <w:rPr>
          <w:rFonts w:ascii="Poppins" w:eastAsia="Times New Roman" w:hAnsi="Poppins" w:cs="Poppins"/>
          <w:bCs/>
        </w:rPr>
        <w:lastRenderedPageBreak/>
        <w:t>ponad jedną czwartą zarówno</w:t>
      </w:r>
      <w:r w:rsidRPr="007C62CD">
        <w:rPr>
          <w:rFonts w:ascii="Poppins" w:eastAsia="Times New Roman" w:hAnsi="Poppins" w:cs="Poppins"/>
          <w:bCs/>
        </w:rPr>
        <w:t xml:space="preserve"> względem </w:t>
      </w:r>
      <w:r w:rsidR="002542B4" w:rsidRPr="007C62CD">
        <w:rPr>
          <w:rFonts w:ascii="Poppins" w:eastAsia="Times New Roman" w:hAnsi="Poppins" w:cs="Poppins"/>
          <w:bCs/>
        </w:rPr>
        <w:t>tegorocznego</w:t>
      </w:r>
      <w:r w:rsidRPr="007C62CD">
        <w:rPr>
          <w:rFonts w:ascii="Poppins" w:eastAsia="Times New Roman" w:hAnsi="Poppins" w:cs="Poppins"/>
          <w:bCs/>
        </w:rPr>
        <w:t xml:space="preserve"> </w:t>
      </w:r>
      <w:r w:rsidR="00614668" w:rsidRPr="007C62CD">
        <w:rPr>
          <w:rFonts w:ascii="Poppins" w:eastAsia="Times New Roman" w:hAnsi="Poppins" w:cs="Poppins"/>
          <w:bCs/>
        </w:rPr>
        <w:t>lipca</w:t>
      </w:r>
      <w:r w:rsidR="00D77FAB">
        <w:rPr>
          <w:rFonts w:ascii="Poppins" w:eastAsia="Times New Roman" w:hAnsi="Poppins" w:cs="Poppins"/>
          <w:bCs/>
        </w:rPr>
        <w:t>,</w:t>
      </w:r>
      <w:r w:rsidR="00614668" w:rsidRPr="007C62CD">
        <w:rPr>
          <w:rFonts w:ascii="Poppins" w:eastAsia="Times New Roman" w:hAnsi="Poppins" w:cs="Poppins"/>
          <w:bCs/>
        </w:rPr>
        <w:t xml:space="preserve"> jak i</w:t>
      </w:r>
      <w:r w:rsidRPr="007C62CD">
        <w:rPr>
          <w:rFonts w:ascii="Poppins" w:eastAsia="Times New Roman" w:hAnsi="Poppins" w:cs="Poppins"/>
          <w:bCs/>
        </w:rPr>
        <w:t xml:space="preserve"> w relacji rok do roku. N</w:t>
      </w:r>
      <w:r w:rsidR="007703BF" w:rsidRPr="007C62CD">
        <w:rPr>
          <w:rFonts w:ascii="Poppins" w:eastAsia="Times New Roman" w:hAnsi="Poppins" w:cs="Poppins"/>
          <w:bCs/>
          <w:lang w:val="ru-RU"/>
        </w:rPr>
        <w:t xml:space="preserve">atomiast </w:t>
      </w:r>
      <w:r w:rsidR="00BB2CD6" w:rsidRPr="007C62CD">
        <w:rPr>
          <w:rFonts w:ascii="Poppins" w:eastAsia="Times New Roman" w:hAnsi="Poppins" w:cs="Poppins"/>
          <w:bCs/>
        </w:rPr>
        <w:t>od początku roku</w:t>
      </w:r>
      <w:r w:rsidRPr="007C62CD">
        <w:rPr>
          <w:rFonts w:ascii="Poppins" w:eastAsia="Times New Roman" w:hAnsi="Poppins" w:cs="Poppins"/>
          <w:bCs/>
        </w:rPr>
        <w:t xml:space="preserve"> inwestorzy pozyskali</w:t>
      </w:r>
      <w:r w:rsidR="00BB2CD6" w:rsidRPr="007C62CD">
        <w:rPr>
          <w:rFonts w:ascii="Poppins" w:eastAsia="Times New Roman" w:hAnsi="Poppins" w:cs="Poppins"/>
          <w:bCs/>
        </w:rPr>
        <w:t xml:space="preserve"> </w:t>
      </w:r>
      <w:r w:rsidR="00135542" w:rsidRPr="007C62CD">
        <w:rPr>
          <w:rFonts w:ascii="Poppins" w:eastAsia="Times New Roman" w:hAnsi="Poppins" w:cs="Poppins"/>
          <w:bCs/>
        </w:rPr>
        <w:t xml:space="preserve">z górą </w:t>
      </w:r>
      <w:r w:rsidRPr="007C62CD">
        <w:rPr>
          <w:rFonts w:ascii="Poppins" w:eastAsia="Times New Roman" w:hAnsi="Poppins" w:cs="Poppins"/>
          <w:bCs/>
        </w:rPr>
        <w:t>1</w:t>
      </w:r>
      <w:r w:rsidR="00614668" w:rsidRPr="007C62CD">
        <w:rPr>
          <w:rFonts w:ascii="Poppins" w:eastAsia="Times New Roman" w:hAnsi="Poppins" w:cs="Poppins"/>
          <w:bCs/>
        </w:rPr>
        <w:t>67</w:t>
      </w:r>
      <w:r w:rsidR="007703BF" w:rsidRPr="007C62CD">
        <w:rPr>
          <w:rFonts w:ascii="Poppins" w:eastAsia="Times New Roman" w:hAnsi="Poppins" w:cs="Poppins"/>
          <w:bCs/>
          <w:lang w:val="ru-RU"/>
        </w:rPr>
        <w:t xml:space="preserve"> tys</w:t>
      </w:r>
      <w:r w:rsidR="007703BF" w:rsidRPr="007C62CD">
        <w:rPr>
          <w:rFonts w:ascii="Poppins" w:eastAsia="Times New Roman" w:hAnsi="Poppins" w:cs="Poppins"/>
          <w:bCs/>
        </w:rPr>
        <w:t>.</w:t>
      </w:r>
      <w:r w:rsidR="002542B4" w:rsidRPr="007C62CD">
        <w:rPr>
          <w:rFonts w:ascii="Poppins" w:eastAsia="Times New Roman" w:hAnsi="Poppins" w:cs="Poppins"/>
          <w:bCs/>
        </w:rPr>
        <w:t xml:space="preserve"> pozwoleń</w:t>
      </w:r>
      <w:r w:rsidR="007703BF" w:rsidRPr="007C62CD">
        <w:rPr>
          <w:rFonts w:ascii="Poppins" w:eastAsia="Times New Roman" w:hAnsi="Poppins" w:cs="Poppins"/>
          <w:bCs/>
        </w:rPr>
        <w:t xml:space="preserve">, </w:t>
      </w:r>
      <w:r w:rsidR="00BB2CD6" w:rsidRPr="007C62CD">
        <w:rPr>
          <w:rFonts w:ascii="Poppins" w:eastAsia="Times New Roman" w:hAnsi="Poppins" w:cs="Poppins"/>
          <w:bCs/>
        </w:rPr>
        <w:t xml:space="preserve">co </w:t>
      </w:r>
      <w:r w:rsidR="007703BF" w:rsidRPr="007C62CD">
        <w:rPr>
          <w:rFonts w:ascii="Poppins" w:eastAsia="Times New Roman" w:hAnsi="Poppins" w:cs="Poppins"/>
          <w:bCs/>
        </w:rPr>
        <w:t>o</w:t>
      </w:r>
      <w:r w:rsidR="00BB2CD6" w:rsidRPr="007C62CD">
        <w:rPr>
          <w:rFonts w:ascii="Poppins" w:eastAsia="Times New Roman" w:hAnsi="Poppins" w:cs="Poppins"/>
          <w:bCs/>
        </w:rPr>
        <w:t>znacza</w:t>
      </w:r>
      <w:r w:rsidR="00C65722" w:rsidRPr="007C62CD">
        <w:rPr>
          <w:rFonts w:ascii="Poppins" w:eastAsia="Times New Roman" w:hAnsi="Poppins" w:cs="Poppins"/>
          <w:bCs/>
        </w:rPr>
        <w:t xml:space="preserve"> </w:t>
      </w:r>
      <w:r w:rsidR="00135542" w:rsidRPr="007C62CD">
        <w:rPr>
          <w:rFonts w:ascii="Poppins" w:eastAsia="Times New Roman" w:hAnsi="Poppins" w:cs="Poppins"/>
          <w:bCs/>
        </w:rPr>
        <w:t>wynik gorszy</w:t>
      </w:r>
      <w:r w:rsidR="006872FE" w:rsidRPr="007C62CD">
        <w:rPr>
          <w:rFonts w:ascii="Poppins" w:eastAsia="Times New Roman" w:hAnsi="Poppins" w:cs="Poppins"/>
          <w:bCs/>
        </w:rPr>
        <w:t xml:space="preserve"> w relacji</w:t>
      </w:r>
      <w:r w:rsidRPr="007C62CD">
        <w:rPr>
          <w:rFonts w:ascii="Poppins" w:eastAsia="Times New Roman" w:hAnsi="Poppins" w:cs="Poppins"/>
          <w:bCs/>
        </w:rPr>
        <w:t xml:space="preserve"> </w:t>
      </w:r>
      <w:r w:rsidR="006872FE" w:rsidRPr="007C62CD">
        <w:rPr>
          <w:rFonts w:ascii="Poppins" w:eastAsia="Times New Roman" w:hAnsi="Poppins" w:cs="Poppins"/>
          <w:bCs/>
        </w:rPr>
        <w:t>do</w:t>
      </w:r>
      <w:r w:rsidRPr="007C62CD">
        <w:rPr>
          <w:rFonts w:ascii="Poppins" w:eastAsia="Times New Roman" w:hAnsi="Poppins" w:cs="Poppins"/>
          <w:bCs/>
        </w:rPr>
        <w:t xml:space="preserve"> analogicznego okresu ub. </w:t>
      </w:r>
      <w:r w:rsidR="006872FE" w:rsidRPr="007C62CD">
        <w:rPr>
          <w:rFonts w:ascii="Poppins" w:eastAsia="Times New Roman" w:hAnsi="Poppins" w:cs="Poppins"/>
          <w:bCs/>
        </w:rPr>
        <w:t xml:space="preserve"> roku </w:t>
      </w:r>
      <w:r w:rsidR="00BB2CD6" w:rsidRPr="007C62CD">
        <w:rPr>
          <w:rFonts w:ascii="Poppins" w:eastAsia="Times New Roman" w:hAnsi="Poppins" w:cs="Poppins"/>
          <w:bCs/>
        </w:rPr>
        <w:t xml:space="preserve">o </w:t>
      </w:r>
      <w:r w:rsidRPr="007C62CD">
        <w:rPr>
          <w:rFonts w:ascii="Poppins" w:eastAsia="Times New Roman" w:hAnsi="Poppins" w:cs="Poppins"/>
          <w:bCs/>
        </w:rPr>
        <w:t>1</w:t>
      </w:r>
      <w:r w:rsidR="00614668" w:rsidRPr="007C62CD">
        <w:rPr>
          <w:rFonts w:ascii="Poppins" w:eastAsia="Times New Roman" w:hAnsi="Poppins" w:cs="Poppins"/>
          <w:bCs/>
        </w:rPr>
        <w:t>5</w:t>
      </w:r>
      <w:r w:rsidR="00BB2CD6" w:rsidRPr="007C62CD">
        <w:rPr>
          <w:rFonts w:ascii="Poppins" w:eastAsia="Times New Roman" w:hAnsi="Poppins" w:cs="Poppins"/>
          <w:bCs/>
        </w:rPr>
        <w:t xml:space="preserve"> proc.</w:t>
      </w:r>
      <w:r w:rsidR="00745437" w:rsidRPr="007C62CD">
        <w:rPr>
          <w:rFonts w:ascii="Poppins" w:eastAsia="Times New Roman" w:hAnsi="Poppins" w:cs="Poppins"/>
          <w:bCs/>
        </w:rPr>
        <w:t xml:space="preserve"> </w:t>
      </w:r>
    </w:p>
    <w:p w14:paraId="6AB56BD3" w14:textId="5C505AAF" w:rsidR="003821F9" w:rsidRPr="003821F9" w:rsidRDefault="003821F9" w:rsidP="002A3A58">
      <w:pPr>
        <w:shd w:val="clear" w:color="auto" w:fill="FFFFFF"/>
        <w:spacing w:before="120" w:after="120" w:line="240" w:lineRule="auto"/>
        <w:jc w:val="center"/>
        <w:rPr>
          <w:rFonts w:ascii="Poppins" w:eastAsia="Times New Roman" w:hAnsi="Poppins" w:cs="Poppins"/>
          <w:bCs/>
        </w:rPr>
      </w:pPr>
      <w:r w:rsidRPr="003821F9">
        <w:rPr>
          <w:rFonts w:ascii="Poppins" w:eastAsia="Times New Roman" w:hAnsi="Poppins" w:cs="Poppins"/>
          <w:bCs/>
        </w:rPr>
        <w:drawing>
          <wp:inline distT="0" distB="0" distL="0" distR="0" wp14:anchorId="51093EA7" wp14:editId="41785235">
            <wp:extent cx="6645910" cy="3740785"/>
            <wp:effectExtent l="0" t="0" r="2540" b="0"/>
            <wp:docPr id="434576848" name="Obraz 4" descr="Obraz zawierający tekst, Czcionka, zrzut ekranu, Wykres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576848" name="Obraz 4" descr="Obraz zawierający tekst, Czcionka, zrzut ekranu, Wykres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4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7234B" w14:textId="77777777" w:rsidR="003821F9" w:rsidRPr="007C62CD" w:rsidRDefault="003821F9" w:rsidP="003F01DB">
      <w:pPr>
        <w:shd w:val="clear" w:color="auto" w:fill="FFFFFF"/>
        <w:spacing w:before="120" w:after="120" w:line="240" w:lineRule="auto"/>
        <w:jc w:val="both"/>
        <w:rPr>
          <w:rFonts w:ascii="Poppins" w:eastAsia="Times New Roman" w:hAnsi="Poppins" w:cs="Poppins"/>
          <w:bCs/>
        </w:rPr>
      </w:pPr>
    </w:p>
    <w:p w14:paraId="0FA42A16" w14:textId="6DCE0E13" w:rsidR="00DA1A06" w:rsidRPr="007C62CD" w:rsidRDefault="00135542" w:rsidP="003F01DB">
      <w:pPr>
        <w:shd w:val="clear" w:color="auto" w:fill="FFFFFF"/>
        <w:spacing w:before="120" w:after="120" w:line="240" w:lineRule="auto"/>
        <w:jc w:val="both"/>
        <w:rPr>
          <w:rFonts w:ascii="Poppins" w:eastAsia="Times New Roman" w:hAnsi="Poppins" w:cs="Poppins"/>
          <w:bCs/>
        </w:rPr>
      </w:pPr>
      <w:r w:rsidRPr="007C62CD">
        <w:rPr>
          <w:rFonts w:ascii="Poppins" w:eastAsia="Times New Roman" w:hAnsi="Poppins" w:cs="Poppins"/>
          <w:bCs/>
        </w:rPr>
        <w:t>O ile inwestorzy indywidualni uzysk</w:t>
      </w:r>
      <w:r w:rsidR="00D16161" w:rsidRPr="007C62CD">
        <w:rPr>
          <w:rFonts w:ascii="Poppins" w:eastAsia="Times New Roman" w:hAnsi="Poppins" w:cs="Poppins"/>
          <w:bCs/>
        </w:rPr>
        <w:t xml:space="preserve">ali </w:t>
      </w:r>
      <w:r w:rsidR="00614668" w:rsidRPr="007C62CD">
        <w:rPr>
          <w:rFonts w:ascii="Poppins" w:eastAsia="Times New Roman" w:hAnsi="Poppins" w:cs="Poppins"/>
          <w:bCs/>
        </w:rPr>
        <w:t>od początku roku</w:t>
      </w:r>
      <w:r w:rsidR="00D16161" w:rsidRPr="007C62CD">
        <w:rPr>
          <w:rFonts w:ascii="Poppins" w:eastAsia="Times New Roman" w:hAnsi="Poppins" w:cs="Poppins"/>
          <w:bCs/>
        </w:rPr>
        <w:t xml:space="preserve"> </w:t>
      </w:r>
      <w:r w:rsidR="00614668" w:rsidRPr="007C62CD">
        <w:rPr>
          <w:rFonts w:ascii="Poppins" w:eastAsia="Times New Roman" w:hAnsi="Poppins" w:cs="Poppins"/>
          <w:bCs/>
        </w:rPr>
        <w:t xml:space="preserve">57 tys. pozwoleń, czyli </w:t>
      </w:r>
      <w:r w:rsidR="00D16161" w:rsidRPr="007C62CD">
        <w:rPr>
          <w:rFonts w:ascii="Poppins" w:eastAsia="Times New Roman" w:hAnsi="Poppins" w:cs="Poppins"/>
          <w:bCs/>
        </w:rPr>
        <w:t xml:space="preserve">wynik o </w:t>
      </w:r>
      <w:r w:rsidR="00614668" w:rsidRPr="007C62CD">
        <w:rPr>
          <w:rFonts w:ascii="Poppins" w:eastAsia="Times New Roman" w:hAnsi="Poppins" w:cs="Poppins"/>
          <w:bCs/>
        </w:rPr>
        <w:t>blisko 7</w:t>
      </w:r>
      <w:r w:rsidR="00D16161" w:rsidRPr="007C62CD">
        <w:rPr>
          <w:rFonts w:ascii="Poppins" w:eastAsia="Times New Roman" w:hAnsi="Poppins" w:cs="Poppins"/>
          <w:bCs/>
        </w:rPr>
        <w:t xml:space="preserve"> proc. lepszy w relacji rdr, to rezultat</w:t>
      </w:r>
      <w:r w:rsidR="00745437" w:rsidRPr="007C62CD">
        <w:rPr>
          <w:rFonts w:ascii="Poppins" w:eastAsia="Times New Roman" w:hAnsi="Poppins" w:cs="Poppins"/>
          <w:bCs/>
        </w:rPr>
        <w:t xml:space="preserve"> deweloperskich pozwoleń </w:t>
      </w:r>
      <w:r w:rsidR="005D2E62" w:rsidRPr="007C62CD">
        <w:rPr>
          <w:rFonts w:ascii="Poppins" w:eastAsia="Times New Roman" w:hAnsi="Poppins" w:cs="Poppins"/>
          <w:bCs/>
        </w:rPr>
        <w:t>w tym okresie na</w:t>
      </w:r>
      <w:r w:rsidR="00745437" w:rsidRPr="007C62CD">
        <w:rPr>
          <w:rFonts w:ascii="Poppins" w:eastAsia="Times New Roman" w:hAnsi="Poppins" w:cs="Poppins"/>
          <w:bCs/>
        </w:rPr>
        <w:t xml:space="preserve"> poziomie </w:t>
      </w:r>
      <w:r w:rsidR="006872FE" w:rsidRPr="007C62CD">
        <w:rPr>
          <w:rFonts w:ascii="Poppins" w:eastAsia="Times New Roman" w:hAnsi="Poppins" w:cs="Poppins"/>
          <w:bCs/>
        </w:rPr>
        <w:t xml:space="preserve">niespełna </w:t>
      </w:r>
      <w:r w:rsidR="00614668" w:rsidRPr="007C62CD">
        <w:rPr>
          <w:rFonts w:ascii="Poppins" w:eastAsia="Times New Roman" w:hAnsi="Poppins" w:cs="Poppins"/>
          <w:bCs/>
        </w:rPr>
        <w:t>105</w:t>
      </w:r>
      <w:r w:rsidR="00745437" w:rsidRPr="007C62CD">
        <w:rPr>
          <w:rFonts w:ascii="Poppins" w:eastAsia="Times New Roman" w:hAnsi="Poppins" w:cs="Poppins"/>
          <w:bCs/>
        </w:rPr>
        <w:t xml:space="preserve"> tys.</w:t>
      </w:r>
      <w:r w:rsidR="005D2E62" w:rsidRPr="007C62CD">
        <w:rPr>
          <w:rFonts w:ascii="Poppins" w:eastAsia="Times New Roman" w:hAnsi="Poppins" w:cs="Poppins"/>
          <w:bCs/>
        </w:rPr>
        <w:t xml:space="preserve"> jest o </w:t>
      </w:r>
      <w:r w:rsidR="00614668" w:rsidRPr="007C62CD">
        <w:rPr>
          <w:rFonts w:ascii="Poppins" w:eastAsia="Times New Roman" w:hAnsi="Poppins" w:cs="Poppins"/>
          <w:bCs/>
        </w:rPr>
        <w:t>prawie</w:t>
      </w:r>
      <w:r w:rsidR="005D2E62" w:rsidRPr="007C62CD">
        <w:rPr>
          <w:rFonts w:ascii="Poppins" w:eastAsia="Times New Roman" w:hAnsi="Poppins" w:cs="Poppins"/>
          <w:bCs/>
        </w:rPr>
        <w:t xml:space="preserve"> jedną czwart</w:t>
      </w:r>
      <w:r w:rsidR="00614668" w:rsidRPr="007C62CD">
        <w:rPr>
          <w:rFonts w:ascii="Poppins" w:eastAsia="Times New Roman" w:hAnsi="Poppins" w:cs="Poppins"/>
          <w:bCs/>
        </w:rPr>
        <w:t>ą</w:t>
      </w:r>
      <w:r w:rsidR="005D2E62" w:rsidRPr="007C62CD">
        <w:rPr>
          <w:rFonts w:ascii="Poppins" w:eastAsia="Times New Roman" w:hAnsi="Poppins" w:cs="Poppins"/>
          <w:bCs/>
        </w:rPr>
        <w:t xml:space="preserve"> gorszy. </w:t>
      </w:r>
      <w:r w:rsidR="006872FE" w:rsidRPr="007C62CD">
        <w:rPr>
          <w:rFonts w:ascii="Poppins" w:eastAsia="Times New Roman" w:hAnsi="Poppins" w:cs="Poppins"/>
          <w:bCs/>
        </w:rPr>
        <w:t xml:space="preserve">Tego typu statystyki zaliczają się do </w:t>
      </w:r>
      <w:r w:rsidR="002159A8" w:rsidRPr="007C62CD">
        <w:rPr>
          <w:rFonts w:ascii="Poppins" w:eastAsia="Times New Roman" w:hAnsi="Poppins" w:cs="Poppins"/>
          <w:bCs/>
        </w:rPr>
        <w:t>historycznie naj</w:t>
      </w:r>
      <w:r w:rsidR="006872FE" w:rsidRPr="007C62CD">
        <w:rPr>
          <w:rFonts w:ascii="Poppins" w:eastAsia="Times New Roman" w:hAnsi="Poppins" w:cs="Poppins"/>
          <w:bCs/>
        </w:rPr>
        <w:t>słabszych</w:t>
      </w:r>
      <w:r w:rsidR="002159A8" w:rsidRPr="007C62CD">
        <w:rPr>
          <w:rFonts w:ascii="Poppins" w:eastAsia="Times New Roman" w:hAnsi="Poppins" w:cs="Poppins"/>
          <w:bCs/>
        </w:rPr>
        <w:t xml:space="preserve"> wyników pozyskiwania przez deweloperów przedmiotowych decyzji administracyjnych.</w:t>
      </w:r>
    </w:p>
    <w:p w14:paraId="393CD9FE" w14:textId="22EB9D09" w:rsidR="00DA1A06" w:rsidRDefault="00614668" w:rsidP="003F01DB">
      <w:pPr>
        <w:shd w:val="clear" w:color="auto" w:fill="FFFFFF"/>
        <w:spacing w:before="120" w:after="120" w:line="240" w:lineRule="auto"/>
        <w:jc w:val="both"/>
        <w:rPr>
          <w:rFonts w:ascii="Poppins" w:eastAsia="Times New Roman" w:hAnsi="Poppins" w:cs="Poppins"/>
          <w:b/>
          <w:bCs/>
        </w:rPr>
      </w:pPr>
      <w:r w:rsidRPr="007C62CD">
        <w:rPr>
          <w:rFonts w:ascii="Poppins" w:eastAsia="Times New Roman" w:hAnsi="Poppins" w:cs="Poppins"/>
          <w:bCs/>
        </w:rPr>
        <w:t>S</w:t>
      </w:r>
      <w:r w:rsidR="00116F71" w:rsidRPr="007C62CD">
        <w:rPr>
          <w:rFonts w:ascii="Poppins" w:eastAsia="Times New Roman" w:hAnsi="Poppins" w:cs="Poppins"/>
          <w:bCs/>
        </w:rPr>
        <w:t>tanu</w:t>
      </w:r>
      <w:r w:rsidR="00027573" w:rsidRPr="007C62CD">
        <w:rPr>
          <w:rFonts w:ascii="Poppins" w:eastAsia="Times New Roman" w:hAnsi="Poppins" w:cs="Poppins"/>
          <w:bCs/>
        </w:rPr>
        <w:t xml:space="preserve"> rynku</w:t>
      </w:r>
      <w:r w:rsidR="00116F71" w:rsidRPr="007C62CD">
        <w:rPr>
          <w:rFonts w:ascii="Poppins" w:eastAsia="Times New Roman" w:hAnsi="Poppins" w:cs="Poppins"/>
          <w:bCs/>
        </w:rPr>
        <w:t xml:space="preserve"> inwestycji mieszkaniowych w Polce </w:t>
      </w:r>
      <w:r w:rsidR="00027573" w:rsidRPr="007C62CD">
        <w:rPr>
          <w:rFonts w:ascii="Poppins" w:eastAsia="Times New Roman" w:hAnsi="Poppins" w:cs="Poppins"/>
          <w:bCs/>
        </w:rPr>
        <w:t>nie poprawiają</w:t>
      </w:r>
      <w:r w:rsidR="00116F71" w:rsidRPr="007C62CD">
        <w:rPr>
          <w:rFonts w:ascii="Poppins" w:eastAsia="Times New Roman" w:hAnsi="Poppins" w:cs="Poppins"/>
          <w:bCs/>
        </w:rPr>
        <w:t xml:space="preserve"> </w:t>
      </w:r>
      <w:r w:rsidRPr="007C62CD">
        <w:rPr>
          <w:rFonts w:ascii="Poppins" w:eastAsia="Times New Roman" w:hAnsi="Poppins" w:cs="Poppins"/>
          <w:bCs/>
        </w:rPr>
        <w:t xml:space="preserve">też </w:t>
      </w:r>
      <w:r w:rsidR="00116F71" w:rsidRPr="007C62CD">
        <w:rPr>
          <w:rFonts w:ascii="Poppins" w:eastAsia="Times New Roman" w:hAnsi="Poppins" w:cs="Poppins"/>
          <w:bCs/>
        </w:rPr>
        <w:t>wolumeny</w:t>
      </w:r>
      <w:r w:rsidR="00DA1A06" w:rsidRPr="007C62CD">
        <w:rPr>
          <w:rFonts w:ascii="Poppins" w:eastAsia="Times New Roman" w:hAnsi="Poppins" w:cs="Poppins"/>
          <w:bCs/>
          <w:lang w:val="ru-RU"/>
        </w:rPr>
        <w:t xml:space="preserve"> lokali oddawanych do użytkowania</w:t>
      </w:r>
      <w:r w:rsidRPr="007C62CD">
        <w:rPr>
          <w:rFonts w:ascii="Poppins" w:eastAsia="Times New Roman" w:hAnsi="Poppins" w:cs="Poppins"/>
          <w:bCs/>
        </w:rPr>
        <w:t>, choć w tym przypadku można raczej mówić o stagnacji niż załamaniu.</w:t>
      </w:r>
      <w:r w:rsidR="00DA1A06" w:rsidRPr="007C62CD">
        <w:rPr>
          <w:rFonts w:ascii="Poppins" w:eastAsia="Times New Roman" w:hAnsi="Poppins" w:cs="Poppins"/>
          <w:bCs/>
          <w:lang w:val="ru-RU"/>
        </w:rPr>
        <w:t xml:space="preserve"> W </w:t>
      </w:r>
      <w:r w:rsidR="00116F71" w:rsidRPr="007C62CD">
        <w:rPr>
          <w:rFonts w:ascii="Poppins" w:eastAsia="Times New Roman" w:hAnsi="Poppins" w:cs="Poppins"/>
          <w:bCs/>
        </w:rPr>
        <w:t xml:space="preserve">tegorocznym </w:t>
      </w:r>
      <w:r w:rsidRPr="007C62CD">
        <w:rPr>
          <w:rFonts w:ascii="Poppins" w:eastAsia="Times New Roman" w:hAnsi="Poppins" w:cs="Poppins"/>
          <w:bCs/>
        </w:rPr>
        <w:t>sierpniu</w:t>
      </w:r>
      <w:r w:rsidR="00DA1A06" w:rsidRPr="007C62CD">
        <w:rPr>
          <w:rFonts w:ascii="Poppins" w:eastAsia="Times New Roman" w:hAnsi="Poppins" w:cs="Poppins"/>
          <w:bCs/>
          <w:lang w:val="ru-RU"/>
        </w:rPr>
        <w:t xml:space="preserve"> było takich mieszkań w sumie </w:t>
      </w:r>
      <w:r w:rsidR="00116F71" w:rsidRPr="007C62CD">
        <w:rPr>
          <w:rFonts w:ascii="Poppins" w:eastAsia="Times New Roman" w:hAnsi="Poppins" w:cs="Poppins"/>
          <w:bCs/>
        </w:rPr>
        <w:t>zaledwie 15</w:t>
      </w:r>
      <w:r w:rsidR="002159A8" w:rsidRPr="007C62CD">
        <w:rPr>
          <w:rFonts w:ascii="Poppins" w:eastAsia="Times New Roman" w:hAnsi="Poppins" w:cs="Poppins"/>
          <w:bCs/>
        </w:rPr>
        <w:t xml:space="preserve"> tys.</w:t>
      </w:r>
      <w:r w:rsidR="00DA1A06" w:rsidRPr="007C62CD">
        <w:rPr>
          <w:rFonts w:ascii="Poppins" w:eastAsia="Times New Roman" w:hAnsi="Poppins" w:cs="Poppins"/>
          <w:bCs/>
          <w:lang w:val="ru-RU"/>
        </w:rPr>
        <w:t xml:space="preserve">, czyli </w:t>
      </w:r>
      <w:r w:rsidRPr="007C62CD">
        <w:rPr>
          <w:rFonts w:ascii="Poppins" w:eastAsia="Times New Roman" w:hAnsi="Poppins" w:cs="Poppins"/>
          <w:bCs/>
        </w:rPr>
        <w:t>1</w:t>
      </w:r>
      <w:r w:rsidR="00027573" w:rsidRPr="007C62CD">
        <w:rPr>
          <w:rFonts w:ascii="Poppins" w:eastAsia="Times New Roman" w:hAnsi="Poppins" w:cs="Poppins"/>
          <w:bCs/>
        </w:rPr>
        <w:t xml:space="preserve">6 </w:t>
      </w:r>
      <w:r w:rsidR="008936B0" w:rsidRPr="007C62CD">
        <w:rPr>
          <w:rFonts w:ascii="Poppins" w:eastAsia="Times New Roman" w:hAnsi="Poppins" w:cs="Poppins"/>
          <w:bCs/>
        </w:rPr>
        <w:t xml:space="preserve">proc. </w:t>
      </w:r>
      <w:r w:rsidRPr="007C62CD">
        <w:rPr>
          <w:rFonts w:ascii="Poppins" w:eastAsia="Times New Roman" w:hAnsi="Poppins" w:cs="Poppins"/>
          <w:bCs/>
        </w:rPr>
        <w:t>mniej</w:t>
      </w:r>
      <w:r w:rsidR="008936B0" w:rsidRPr="007C62CD">
        <w:rPr>
          <w:rFonts w:ascii="Poppins" w:eastAsia="Times New Roman" w:hAnsi="Poppins" w:cs="Poppins"/>
          <w:bCs/>
        </w:rPr>
        <w:t xml:space="preserve"> niż miesiąc wcześniej i </w:t>
      </w:r>
      <w:r w:rsidRPr="007C62CD">
        <w:rPr>
          <w:rFonts w:ascii="Poppins" w:eastAsia="Times New Roman" w:hAnsi="Poppins" w:cs="Poppins"/>
          <w:bCs/>
        </w:rPr>
        <w:t>4</w:t>
      </w:r>
      <w:r w:rsidR="008936B0" w:rsidRPr="007C62CD">
        <w:rPr>
          <w:rFonts w:ascii="Poppins" w:eastAsia="Times New Roman" w:hAnsi="Poppins" w:cs="Poppins"/>
          <w:bCs/>
        </w:rPr>
        <w:t xml:space="preserve"> proc. </w:t>
      </w:r>
      <w:r w:rsidRPr="007C62CD">
        <w:rPr>
          <w:rFonts w:ascii="Poppins" w:eastAsia="Times New Roman" w:hAnsi="Poppins" w:cs="Poppins"/>
          <w:bCs/>
        </w:rPr>
        <w:t>więcej</w:t>
      </w:r>
      <w:r w:rsidR="00027573" w:rsidRPr="007C62CD">
        <w:rPr>
          <w:rFonts w:ascii="Poppins" w:eastAsia="Times New Roman" w:hAnsi="Poppins" w:cs="Poppins"/>
          <w:bCs/>
        </w:rPr>
        <w:t xml:space="preserve"> </w:t>
      </w:r>
      <w:r w:rsidR="008936B0" w:rsidRPr="007C62CD">
        <w:rPr>
          <w:rFonts w:ascii="Poppins" w:eastAsia="Times New Roman" w:hAnsi="Poppins" w:cs="Poppins"/>
          <w:bCs/>
        </w:rPr>
        <w:t>w relacji</w:t>
      </w:r>
      <w:r w:rsidR="00855A7A" w:rsidRPr="007C62CD">
        <w:rPr>
          <w:rFonts w:ascii="Poppins" w:eastAsia="Times New Roman" w:hAnsi="Poppins" w:cs="Poppins"/>
          <w:bCs/>
        </w:rPr>
        <w:t xml:space="preserve"> </w:t>
      </w:r>
      <w:r w:rsidR="00DA1A06" w:rsidRPr="007C62CD">
        <w:rPr>
          <w:rFonts w:ascii="Poppins" w:eastAsia="Times New Roman" w:hAnsi="Poppins" w:cs="Poppins"/>
          <w:bCs/>
          <w:lang w:val="ru-RU"/>
        </w:rPr>
        <w:t>rok do rok</w:t>
      </w:r>
      <w:r w:rsidR="008936B0" w:rsidRPr="007C62CD">
        <w:rPr>
          <w:rFonts w:ascii="Poppins" w:eastAsia="Times New Roman" w:hAnsi="Poppins" w:cs="Poppins"/>
          <w:bCs/>
        </w:rPr>
        <w:t>u.</w:t>
      </w:r>
      <w:r w:rsidR="00855A7A" w:rsidRPr="007C62CD">
        <w:rPr>
          <w:rFonts w:ascii="Poppins" w:eastAsia="Times New Roman" w:hAnsi="Poppins" w:cs="Poppins"/>
          <w:bCs/>
        </w:rPr>
        <w:t xml:space="preserve"> </w:t>
      </w:r>
      <w:r w:rsidR="002159A8" w:rsidRPr="007C62CD">
        <w:rPr>
          <w:rFonts w:ascii="Poppins" w:eastAsia="Times New Roman" w:hAnsi="Poppins" w:cs="Poppins"/>
          <w:bCs/>
        </w:rPr>
        <w:t>Z kolei wynik od początku</w:t>
      </w:r>
      <w:r w:rsidR="00A67B71" w:rsidRPr="007C62CD">
        <w:rPr>
          <w:rFonts w:ascii="Poppins" w:eastAsia="Times New Roman" w:hAnsi="Poppins" w:cs="Poppins"/>
          <w:bCs/>
        </w:rPr>
        <w:t xml:space="preserve"> </w:t>
      </w:r>
      <w:r w:rsidR="00C65722" w:rsidRPr="007C62CD">
        <w:rPr>
          <w:rFonts w:ascii="Poppins" w:eastAsia="Times New Roman" w:hAnsi="Poppins" w:cs="Poppins"/>
          <w:bCs/>
        </w:rPr>
        <w:t xml:space="preserve">roku </w:t>
      </w:r>
      <w:r w:rsidR="00A67B71" w:rsidRPr="007C62CD">
        <w:rPr>
          <w:rFonts w:ascii="Poppins" w:eastAsia="Times New Roman" w:hAnsi="Poppins" w:cs="Poppins"/>
          <w:bCs/>
        </w:rPr>
        <w:t xml:space="preserve">rzędu </w:t>
      </w:r>
      <w:r w:rsidRPr="007C62CD">
        <w:rPr>
          <w:rFonts w:ascii="Poppins" w:eastAsia="Times New Roman" w:hAnsi="Poppins" w:cs="Poppins"/>
          <w:bCs/>
        </w:rPr>
        <w:t>125</w:t>
      </w:r>
      <w:r w:rsidR="00A67B71" w:rsidRPr="007C62CD">
        <w:rPr>
          <w:rFonts w:ascii="Poppins" w:eastAsia="Times New Roman" w:hAnsi="Poppins" w:cs="Poppins"/>
          <w:bCs/>
        </w:rPr>
        <w:t xml:space="preserve"> tys. lokali oddanych jest o </w:t>
      </w:r>
      <w:r w:rsidR="008936B0" w:rsidRPr="007C62CD">
        <w:rPr>
          <w:rFonts w:ascii="Poppins" w:eastAsia="Times New Roman" w:hAnsi="Poppins" w:cs="Poppins"/>
          <w:bCs/>
        </w:rPr>
        <w:t>ponad</w:t>
      </w:r>
      <w:r w:rsidR="00855A7A" w:rsidRPr="007C62CD">
        <w:rPr>
          <w:rFonts w:ascii="Poppins" w:eastAsia="Times New Roman" w:hAnsi="Poppins" w:cs="Poppins"/>
          <w:bCs/>
        </w:rPr>
        <w:t xml:space="preserve"> 3</w:t>
      </w:r>
      <w:r w:rsidR="00A67B71" w:rsidRPr="007C62CD">
        <w:rPr>
          <w:rFonts w:ascii="Poppins" w:eastAsia="Times New Roman" w:hAnsi="Poppins" w:cs="Poppins"/>
          <w:bCs/>
        </w:rPr>
        <w:t xml:space="preserve"> proc. gorszy od uzyskanego w analogicznym okresie ub. roku.</w:t>
      </w:r>
      <w:r w:rsidR="00DA1A06" w:rsidRPr="007C62CD">
        <w:rPr>
          <w:rFonts w:ascii="Poppins" w:eastAsia="Times New Roman" w:hAnsi="Poppins" w:cs="Poppins"/>
          <w:b/>
          <w:bCs/>
          <w:lang w:val="ru-RU"/>
        </w:rPr>
        <w:t xml:space="preserve"> </w:t>
      </w:r>
    </w:p>
    <w:p w14:paraId="6111A377" w14:textId="0C443149" w:rsidR="003821F9" w:rsidRPr="003821F9" w:rsidRDefault="003821F9" w:rsidP="002A3A58">
      <w:pPr>
        <w:shd w:val="clear" w:color="auto" w:fill="FFFFFF"/>
        <w:spacing w:before="120" w:after="120" w:line="240" w:lineRule="auto"/>
        <w:jc w:val="center"/>
        <w:rPr>
          <w:rFonts w:ascii="Poppins" w:eastAsia="Times New Roman" w:hAnsi="Poppins" w:cs="Poppins"/>
          <w:b/>
          <w:bCs/>
        </w:rPr>
      </w:pPr>
      <w:r w:rsidRPr="003821F9">
        <w:rPr>
          <w:rFonts w:ascii="Poppins" w:eastAsia="Times New Roman" w:hAnsi="Poppins" w:cs="Poppins"/>
          <w:b/>
          <w:bCs/>
        </w:rPr>
        <w:lastRenderedPageBreak/>
        <w:drawing>
          <wp:inline distT="0" distB="0" distL="0" distR="0" wp14:anchorId="4AB6C789" wp14:editId="42EFB4C0">
            <wp:extent cx="6305550" cy="3555833"/>
            <wp:effectExtent l="0" t="0" r="0" b="6985"/>
            <wp:docPr id="739061231" name="Obraz 2" descr="Obraz zawierający tekst, zrzut ekranu, Czcionka, diagram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061231" name="Obraz 2" descr="Obraz zawierający tekst, zrzut ekranu, Czcionka, diagram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6049" cy="3561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DC7E1E" w14:textId="77777777" w:rsidR="003821F9" w:rsidRPr="003821F9" w:rsidRDefault="003821F9" w:rsidP="003F01DB">
      <w:pPr>
        <w:shd w:val="clear" w:color="auto" w:fill="FFFFFF"/>
        <w:spacing w:before="120" w:after="120" w:line="240" w:lineRule="auto"/>
        <w:jc w:val="both"/>
        <w:rPr>
          <w:rFonts w:ascii="Poppins" w:eastAsia="Times New Roman" w:hAnsi="Poppins" w:cs="Poppins"/>
          <w:b/>
          <w:bCs/>
        </w:rPr>
      </w:pPr>
    </w:p>
    <w:p w14:paraId="420967FE" w14:textId="0B7A7600" w:rsidR="00D94B78" w:rsidRPr="007C62CD" w:rsidRDefault="00C07988" w:rsidP="00C07988">
      <w:pPr>
        <w:spacing w:before="120" w:after="120" w:line="240" w:lineRule="auto"/>
        <w:rPr>
          <w:rFonts w:ascii="Poppins" w:eastAsia="Times New Roman" w:hAnsi="Poppins" w:cs="Poppins"/>
          <w:lang w:eastAsia="pl-PL"/>
        </w:rPr>
      </w:pPr>
      <w:r w:rsidRPr="007C62CD">
        <w:rPr>
          <w:rFonts w:ascii="Poppins" w:hAnsi="Poppins" w:cs="Poppins"/>
        </w:rPr>
        <w:t xml:space="preserve">Dane GUS za sierpień wskazują, że budownictwo mieszkaniowe w Polsce wróciło do spadkowej tendencji, która dominuje już od kilkunastu miesięcy. Lipcowe ożywienie okazało się </w:t>
      </w:r>
      <w:r w:rsidR="00A72752" w:rsidRPr="007C62CD">
        <w:rPr>
          <w:rFonts w:ascii="Poppins" w:hAnsi="Poppins" w:cs="Poppins"/>
        </w:rPr>
        <w:t>jednorazowym korekcyjnym</w:t>
      </w:r>
      <w:r w:rsidRPr="007C62CD">
        <w:rPr>
          <w:rFonts w:ascii="Poppins" w:hAnsi="Poppins" w:cs="Poppins"/>
        </w:rPr>
        <w:t xml:space="preserve"> wyjątkiem, a sierpniowe wyniki potwierdzają pogarszającą się koniunkturę inwestycyjną na rynku pierwotnym. Ponownie c</w:t>
      </w:r>
      <w:r w:rsidR="00027573" w:rsidRPr="007C62CD">
        <w:rPr>
          <w:rFonts w:ascii="Poppins" w:eastAsia="Times New Roman" w:hAnsi="Poppins" w:cs="Poppins"/>
        </w:rPr>
        <w:t>oraz bardziej</w:t>
      </w:r>
      <w:r w:rsidR="00855A7A" w:rsidRPr="007C62CD">
        <w:rPr>
          <w:rFonts w:ascii="Poppins" w:eastAsia="Times New Roman" w:hAnsi="Poppins" w:cs="Poppins"/>
        </w:rPr>
        <w:t xml:space="preserve"> niepokojąco prezentują się </w:t>
      </w:r>
      <w:r w:rsidR="00B56979" w:rsidRPr="007C62CD">
        <w:rPr>
          <w:rFonts w:ascii="Poppins" w:eastAsia="Times New Roman" w:hAnsi="Poppins" w:cs="Poppins"/>
        </w:rPr>
        <w:t xml:space="preserve">dane </w:t>
      </w:r>
      <w:r w:rsidR="008936B0" w:rsidRPr="007C62CD">
        <w:rPr>
          <w:rFonts w:ascii="Poppins" w:eastAsia="Times New Roman" w:hAnsi="Poppins" w:cs="Poppins"/>
        </w:rPr>
        <w:t xml:space="preserve">mieszkań </w:t>
      </w:r>
      <w:r w:rsidR="005417DF" w:rsidRPr="007C62CD">
        <w:rPr>
          <w:rFonts w:ascii="Poppins" w:eastAsia="Times New Roman" w:hAnsi="Poppins" w:cs="Poppins"/>
        </w:rPr>
        <w:t>rozpoczętych</w:t>
      </w:r>
      <w:r w:rsidR="008936B0" w:rsidRPr="007C62CD">
        <w:rPr>
          <w:rFonts w:ascii="Poppins" w:eastAsia="Times New Roman" w:hAnsi="Poppins" w:cs="Poppins"/>
        </w:rPr>
        <w:t xml:space="preserve">, które w </w:t>
      </w:r>
      <w:r w:rsidRPr="007C62CD">
        <w:rPr>
          <w:rFonts w:ascii="Poppins" w:eastAsia="Times New Roman" w:hAnsi="Poppins" w:cs="Poppins"/>
        </w:rPr>
        <w:t>sierpniu</w:t>
      </w:r>
      <w:r w:rsidR="005417DF" w:rsidRPr="007C62CD">
        <w:rPr>
          <w:rFonts w:ascii="Poppins" w:eastAsia="Times New Roman" w:hAnsi="Poppins" w:cs="Poppins"/>
        </w:rPr>
        <w:t xml:space="preserve"> </w:t>
      </w:r>
      <w:r w:rsidR="00A72752" w:rsidRPr="007C62CD">
        <w:rPr>
          <w:rFonts w:ascii="Poppins" w:eastAsia="Times New Roman" w:hAnsi="Poppins" w:cs="Poppins"/>
        </w:rPr>
        <w:t xml:space="preserve">powróciły do </w:t>
      </w:r>
      <w:r w:rsidR="005417DF" w:rsidRPr="007C62CD">
        <w:rPr>
          <w:rFonts w:ascii="Poppins" w:eastAsia="Times New Roman" w:hAnsi="Poppins" w:cs="Poppins"/>
        </w:rPr>
        <w:t>kontynu</w:t>
      </w:r>
      <w:r w:rsidR="00A72752" w:rsidRPr="007C62CD">
        <w:rPr>
          <w:rFonts w:ascii="Poppins" w:eastAsia="Times New Roman" w:hAnsi="Poppins" w:cs="Poppins"/>
        </w:rPr>
        <w:t xml:space="preserve">acji </w:t>
      </w:r>
      <w:r w:rsidR="005417DF" w:rsidRPr="007C62CD">
        <w:rPr>
          <w:rFonts w:ascii="Poppins" w:eastAsia="Times New Roman" w:hAnsi="Poppins" w:cs="Poppins"/>
        </w:rPr>
        <w:t>ruch</w:t>
      </w:r>
      <w:r w:rsidR="00A72752" w:rsidRPr="007C62CD">
        <w:rPr>
          <w:rFonts w:ascii="Poppins" w:eastAsia="Times New Roman" w:hAnsi="Poppins" w:cs="Poppins"/>
        </w:rPr>
        <w:t>u</w:t>
      </w:r>
      <w:r w:rsidR="005417DF" w:rsidRPr="007C62CD">
        <w:rPr>
          <w:rFonts w:ascii="Poppins" w:eastAsia="Times New Roman" w:hAnsi="Poppins" w:cs="Poppins"/>
        </w:rPr>
        <w:t xml:space="preserve"> w kierunku</w:t>
      </w:r>
      <w:r w:rsidR="008936B0" w:rsidRPr="007C62CD">
        <w:rPr>
          <w:rFonts w:ascii="Poppins" w:eastAsia="Times New Roman" w:hAnsi="Poppins" w:cs="Poppins"/>
        </w:rPr>
        <w:t xml:space="preserve"> swoje</w:t>
      </w:r>
      <w:r w:rsidR="005417DF" w:rsidRPr="007C62CD">
        <w:rPr>
          <w:rFonts w:ascii="Poppins" w:eastAsia="Times New Roman" w:hAnsi="Poppins" w:cs="Poppins"/>
        </w:rPr>
        <w:t>go</w:t>
      </w:r>
      <w:r w:rsidR="008936B0" w:rsidRPr="007C62CD">
        <w:rPr>
          <w:rFonts w:ascii="Poppins" w:eastAsia="Times New Roman" w:hAnsi="Poppins" w:cs="Poppins"/>
        </w:rPr>
        <w:t xml:space="preserve"> wieloletnie</w:t>
      </w:r>
      <w:r w:rsidR="005417DF" w:rsidRPr="007C62CD">
        <w:rPr>
          <w:rFonts w:ascii="Poppins" w:eastAsia="Times New Roman" w:hAnsi="Poppins" w:cs="Poppins"/>
        </w:rPr>
        <w:t>go</w:t>
      </w:r>
      <w:r w:rsidR="008936B0" w:rsidRPr="007C62CD">
        <w:rPr>
          <w:rFonts w:ascii="Poppins" w:eastAsia="Times New Roman" w:hAnsi="Poppins" w:cs="Poppins"/>
        </w:rPr>
        <w:t xml:space="preserve"> dn</w:t>
      </w:r>
      <w:r w:rsidR="005417DF" w:rsidRPr="007C62CD">
        <w:rPr>
          <w:rFonts w:ascii="Poppins" w:eastAsia="Times New Roman" w:hAnsi="Poppins" w:cs="Poppins"/>
        </w:rPr>
        <w:t>a</w:t>
      </w:r>
      <w:r w:rsidR="008936B0" w:rsidRPr="007C62CD">
        <w:rPr>
          <w:rFonts w:ascii="Poppins" w:eastAsia="Times New Roman" w:hAnsi="Poppins" w:cs="Poppins"/>
        </w:rPr>
        <w:t xml:space="preserve"> notowań. </w:t>
      </w:r>
    </w:p>
    <w:p w14:paraId="7D136C3B" w14:textId="36D862DA" w:rsidR="006C644F" w:rsidRPr="007C62CD" w:rsidRDefault="005417DF" w:rsidP="003F01DB">
      <w:pPr>
        <w:spacing w:before="120" w:after="120" w:line="240" w:lineRule="auto"/>
        <w:jc w:val="both"/>
        <w:rPr>
          <w:rFonts w:ascii="Poppins" w:eastAsia="Times New Roman" w:hAnsi="Poppins" w:cs="Poppins"/>
          <w:lang w:eastAsia="pl-PL"/>
        </w:rPr>
      </w:pPr>
      <w:r w:rsidRPr="007C62CD">
        <w:rPr>
          <w:rFonts w:ascii="Poppins" w:eastAsia="Times New Roman" w:hAnsi="Poppins" w:cs="Poppins"/>
        </w:rPr>
        <w:t>Jednocześnie coraz słabiej wypadają statystyki deweloperskich pozwoleń na budowę, które</w:t>
      </w:r>
      <w:r w:rsidR="00C07988" w:rsidRPr="007C62CD">
        <w:rPr>
          <w:rFonts w:ascii="Poppins" w:eastAsia="Times New Roman" w:hAnsi="Poppins" w:cs="Poppins"/>
        </w:rPr>
        <w:t xml:space="preserve"> po jednorazowym odreagowaniu ponownie powróciły do testowania </w:t>
      </w:r>
      <w:r w:rsidRPr="007C62CD">
        <w:rPr>
          <w:rFonts w:ascii="Poppins" w:eastAsia="Times New Roman" w:hAnsi="Poppins" w:cs="Poppins"/>
        </w:rPr>
        <w:t>dn</w:t>
      </w:r>
      <w:r w:rsidR="00C07988" w:rsidRPr="007C62CD">
        <w:rPr>
          <w:rFonts w:ascii="Poppins" w:eastAsia="Times New Roman" w:hAnsi="Poppins" w:cs="Poppins"/>
        </w:rPr>
        <w:t>a</w:t>
      </w:r>
      <w:r w:rsidRPr="007C62CD">
        <w:rPr>
          <w:rFonts w:ascii="Poppins" w:eastAsia="Times New Roman" w:hAnsi="Poppins" w:cs="Poppins"/>
        </w:rPr>
        <w:t xml:space="preserve"> wieloletnich minimów notowań. Jeśli faktycznie uznać je za</w:t>
      </w:r>
      <w:r w:rsidR="00855A7A" w:rsidRPr="007C62CD">
        <w:rPr>
          <w:rFonts w:ascii="Poppins" w:eastAsia="Times New Roman" w:hAnsi="Poppins" w:cs="Poppins"/>
        </w:rPr>
        <w:t xml:space="preserve"> wiarygodny wskaźnik optymizmu </w:t>
      </w:r>
      <w:r w:rsidR="002D2566" w:rsidRPr="007C62CD">
        <w:rPr>
          <w:rFonts w:ascii="Poppins" w:eastAsia="Times New Roman" w:hAnsi="Poppins" w:cs="Poppins"/>
        </w:rPr>
        <w:t>inwestycyjnego</w:t>
      </w:r>
      <w:r w:rsidRPr="007C62CD">
        <w:rPr>
          <w:rFonts w:ascii="Poppins" w:eastAsia="Times New Roman" w:hAnsi="Poppins" w:cs="Poppins"/>
        </w:rPr>
        <w:t xml:space="preserve"> deweloperów</w:t>
      </w:r>
      <w:r w:rsidR="003F01DB" w:rsidRPr="007C62CD">
        <w:rPr>
          <w:rFonts w:ascii="Poppins" w:eastAsia="Times New Roman" w:hAnsi="Poppins" w:cs="Poppins"/>
        </w:rPr>
        <w:t xml:space="preserve">, </w:t>
      </w:r>
      <w:r w:rsidRPr="007C62CD">
        <w:rPr>
          <w:rFonts w:ascii="Poppins" w:eastAsia="Times New Roman" w:hAnsi="Poppins" w:cs="Poppins"/>
        </w:rPr>
        <w:t xml:space="preserve">to </w:t>
      </w:r>
      <w:r w:rsidR="003F01DB" w:rsidRPr="007C62CD">
        <w:rPr>
          <w:rFonts w:ascii="Poppins" w:eastAsia="Times New Roman" w:hAnsi="Poppins" w:cs="Poppins"/>
        </w:rPr>
        <w:t>trudno nie dopatrz</w:t>
      </w:r>
      <w:r w:rsidR="002A3A58">
        <w:rPr>
          <w:rFonts w:ascii="Poppins" w:eastAsia="Times New Roman" w:hAnsi="Poppins" w:cs="Poppins"/>
        </w:rPr>
        <w:t>yć</w:t>
      </w:r>
      <w:r w:rsidR="003F01DB" w:rsidRPr="007C62CD">
        <w:rPr>
          <w:rFonts w:ascii="Poppins" w:eastAsia="Times New Roman" w:hAnsi="Poppins" w:cs="Poppins"/>
        </w:rPr>
        <w:t xml:space="preserve"> się słabnących</w:t>
      </w:r>
      <w:r w:rsidRPr="007C62CD">
        <w:rPr>
          <w:rFonts w:ascii="Poppins" w:eastAsia="Times New Roman" w:hAnsi="Poppins" w:cs="Poppins"/>
        </w:rPr>
        <w:t xml:space="preserve"> z miesiąca na miesiąc</w:t>
      </w:r>
      <w:r w:rsidR="003F01DB" w:rsidRPr="007C62CD">
        <w:rPr>
          <w:rFonts w:ascii="Poppins" w:eastAsia="Times New Roman" w:hAnsi="Poppins" w:cs="Poppins"/>
        </w:rPr>
        <w:t xml:space="preserve"> nastrojów</w:t>
      </w:r>
      <w:r w:rsidR="002D2566" w:rsidRPr="007C62CD">
        <w:rPr>
          <w:rFonts w:ascii="Poppins" w:eastAsia="Times New Roman" w:hAnsi="Poppins" w:cs="Poppins"/>
        </w:rPr>
        <w:t xml:space="preserve"> </w:t>
      </w:r>
      <w:r w:rsidR="00855A7A" w:rsidRPr="007C62CD">
        <w:rPr>
          <w:rFonts w:ascii="Poppins" w:eastAsia="Times New Roman" w:hAnsi="Poppins" w:cs="Poppins"/>
        </w:rPr>
        <w:t>budowniczych mieszkań na sprzedaż lub wynajem</w:t>
      </w:r>
      <w:r w:rsidR="00A72752" w:rsidRPr="007C62CD">
        <w:rPr>
          <w:rFonts w:ascii="Poppins" w:eastAsia="Times New Roman" w:hAnsi="Poppins" w:cs="Poppins"/>
        </w:rPr>
        <w:t xml:space="preserve">, trochę wbrew ostatnio publikowanym w mediach przedmiotowym wskaźnikom. </w:t>
      </w:r>
      <w:r w:rsidR="006C644F" w:rsidRPr="007C62CD">
        <w:rPr>
          <w:rFonts w:ascii="Poppins" w:eastAsia="Times New Roman" w:hAnsi="Poppins" w:cs="Poppins"/>
        </w:rPr>
        <w:t>Pogłębiający się</w:t>
      </w:r>
      <w:r w:rsidR="003F01DB" w:rsidRPr="007C62CD">
        <w:rPr>
          <w:rFonts w:ascii="Poppins" w:eastAsia="Times New Roman" w:hAnsi="Poppins" w:cs="Poppins"/>
        </w:rPr>
        <w:t xml:space="preserve"> regres</w:t>
      </w:r>
      <w:r w:rsidR="003F01DB" w:rsidRPr="007C62CD">
        <w:rPr>
          <w:rFonts w:ascii="Poppins" w:eastAsia="Times New Roman" w:hAnsi="Poppins" w:cs="Poppins"/>
          <w:lang w:eastAsia="pl-PL"/>
        </w:rPr>
        <w:t xml:space="preserve"> zarówno w rozpoczęciach, pozwoleniach jak i lokalach oddanych do użytkowania </w:t>
      </w:r>
      <w:r w:rsidR="00A72752" w:rsidRPr="007C62CD">
        <w:rPr>
          <w:rFonts w:ascii="Poppins" w:eastAsia="Times New Roman" w:hAnsi="Poppins" w:cs="Poppins"/>
          <w:lang w:eastAsia="pl-PL"/>
        </w:rPr>
        <w:t xml:space="preserve">jednoznacznie </w:t>
      </w:r>
      <w:r w:rsidR="006C644F" w:rsidRPr="007C62CD">
        <w:rPr>
          <w:rFonts w:ascii="Poppins" w:eastAsia="Times New Roman" w:hAnsi="Poppins" w:cs="Poppins"/>
          <w:lang w:eastAsia="pl-PL"/>
        </w:rPr>
        <w:t xml:space="preserve">wskazują na </w:t>
      </w:r>
      <w:r w:rsidR="00A72752" w:rsidRPr="007C62CD">
        <w:rPr>
          <w:rFonts w:ascii="Poppins" w:eastAsia="Times New Roman" w:hAnsi="Poppins" w:cs="Poppins"/>
          <w:lang w:eastAsia="pl-PL"/>
        </w:rPr>
        <w:t>zdecydowaną</w:t>
      </w:r>
      <w:r w:rsidR="006C644F" w:rsidRPr="007C62CD">
        <w:rPr>
          <w:rFonts w:ascii="Poppins" w:eastAsia="Times New Roman" w:hAnsi="Poppins" w:cs="Poppins"/>
          <w:lang w:eastAsia="pl-PL"/>
        </w:rPr>
        <w:t xml:space="preserve"> asekurację przedsiębiorców mieszkaniowych w dość mocno niepewnym dla nich środowisku gospodarczym. </w:t>
      </w:r>
    </w:p>
    <w:p w14:paraId="751DA409" w14:textId="28910EF5" w:rsidR="00395C3F" w:rsidRPr="007C62CD" w:rsidRDefault="00395C3F" w:rsidP="003F01DB">
      <w:pPr>
        <w:spacing w:before="120" w:after="120" w:line="240" w:lineRule="auto"/>
        <w:jc w:val="both"/>
        <w:rPr>
          <w:rFonts w:ascii="Poppins" w:eastAsia="Times New Roman" w:hAnsi="Poppins" w:cs="Poppins"/>
        </w:rPr>
      </w:pPr>
      <w:r w:rsidRPr="007C62CD">
        <w:rPr>
          <w:rFonts w:ascii="Poppins" w:eastAsia="Times New Roman" w:hAnsi="Poppins" w:cs="Poppins"/>
          <w:lang w:eastAsia="pl-PL"/>
        </w:rPr>
        <w:t xml:space="preserve">Tymczasem średnioterminowy spadek danych GUS budownictwa mieszkaniowego rynek może dotkliwie odczuć już pod koniec przyszłego roku, a zwłaszcza w roku 2027, kiedy wzrośnie prawdopodobieństwo materializacji ryzyka luki podażowej. Na razie oferta mieszkań deweloperskich jest na rekordowym poziomie, jednak sytuacja taka nie będzie trwała w nieskończoność, co wyraźnie sygnalizują zniżkujące statystyki nowych inwestycji i pozwoleń na budowę. W przypadku tych ostatnich nadwyżka decyzji administracyjnych nad uruchomianymi budowami, czyli tzw. „zapas PnB” od kilku miesięcy utrzymuje się w okolicach zera, co jest </w:t>
      </w:r>
      <w:r w:rsidRPr="007C62CD">
        <w:rPr>
          <w:rFonts w:ascii="Poppins" w:eastAsia="Times New Roman" w:hAnsi="Poppins" w:cs="Poppins"/>
          <w:lang w:eastAsia="pl-PL"/>
        </w:rPr>
        <w:lastRenderedPageBreak/>
        <w:t xml:space="preserve">zjawiskiem rzadko występującym i zdecydowanie źle rokującym perspektywom podażowym pierwotnego rynku mieszkaniowego. </w:t>
      </w:r>
    </w:p>
    <w:p w14:paraId="0B6DE94A" w14:textId="77777777" w:rsidR="007E7D5F" w:rsidRDefault="007E7D5F" w:rsidP="003F01DB">
      <w:pPr>
        <w:spacing w:before="120" w:after="120" w:line="240" w:lineRule="auto"/>
        <w:jc w:val="both"/>
        <w:rPr>
          <w:rFonts w:ascii="Poppins" w:eastAsia="Times New Roman" w:hAnsi="Poppins" w:cs="Poppins"/>
        </w:rPr>
      </w:pPr>
    </w:p>
    <w:p w14:paraId="70FF142F" w14:textId="77777777" w:rsidR="003821F9" w:rsidRDefault="003821F9" w:rsidP="003F01DB">
      <w:pPr>
        <w:spacing w:before="120" w:after="120" w:line="240" w:lineRule="auto"/>
        <w:jc w:val="both"/>
        <w:rPr>
          <w:rFonts w:ascii="Poppins" w:eastAsia="Times New Roman" w:hAnsi="Poppins" w:cs="Poppins"/>
        </w:rPr>
      </w:pPr>
    </w:p>
    <w:p w14:paraId="447DF924" w14:textId="77777777" w:rsidR="00892E11" w:rsidRDefault="00892E11" w:rsidP="003F01DB">
      <w:pPr>
        <w:spacing w:before="120" w:after="120" w:line="240" w:lineRule="auto"/>
        <w:jc w:val="both"/>
        <w:rPr>
          <w:rFonts w:ascii="Poppins" w:eastAsia="Times New Roman" w:hAnsi="Poppins" w:cs="Poppins"/>
        </w:rPr>
      </w:pPr>
    </w:p>
    <w:p w14:paraId="3C11C839" w14:textId="77777777" w:rsidR="00892E11" w:rsidRDefault="00892E11" w:rsidP="003F01DB">
      <w:pPr>
        <w:spacing w:before="120" w:after="120" w:line="240" w:lineRule="auto"/>
        <w:jc w:val="both"/>
        <w:rPr>
          <w:rFonts w:ascii="Poppins" w:eastAsia="Times New Roman" w:hAnsi="Poppins" w:cs="Poppins"/>
        </w:rPr>
      </w:pPr>
    </w:p>
    <w:p w14:paraId="22E416F2" w14:textId="77777777" w:rsidR="00892E11" w:rsidRDefault="00892E11" w:rsidP="003F01DB">
      <w:pPr>
        <w:spacing w:before="120" w:after="120" w:line="240" w:lineRule="auto"/>
        <w:jc w:val="both"/>
        <w:rPr>
          <w:rFonts w:ascii="Poppins" w:eastAsia="Times New Roman" w:hAnsi="Poppins" w:cs="Poppins"/>
        </w:rPr>
      </w:pPr>
    </w:p>
    <w:p w14:paraId="761075E8" w14:textId="7E3471D3" w:rsidR="00892E11" w:rsidRDefault="00892E11" w:rsidP="003F01DB">
      <w:pPr>
        <w:spacing w:before="120" w:after="120" w:line="240" w:lineRule="auto"/>
        <w:jc w:val="both"/>
        <w:rPr>
          <w:rFonts w:ascii="Poppins" w:eastAsia="Times New Roman" w:hAnsi="Poppins" w:cs="Poppins"/>
        </w:rPr>
      </w:pPr>
      <w:r>
        <w:rPr>
          <w:noProof/>
        </w:rPr>
        <w:drawing>
          <wp:inline distT="0" distB="0" distL="0" distR="0" wp14:anchorId="3CFFA689" wp14:editId="36A4AB6A">
            <wp:extent cx="2118360" cy="1733550"/>
            <wp:effectExtent l="0" t="0" r="0" b="0"/>
            <wp:docPr id="1072743079" name="Obraz 1" descr="Obraz zawierający Ludzka twarz, osoba, ubrania, Ubiór formalny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743079" name="Obraz 1" descr="Obraz zawierający Ludzka twarz, osoba, ubrania, Ubiór formalny&#10;&#10;Zawartość wygenerowana przez AI może być niepoprawna.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1836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E1715D" w14:textId="77777777" w:rsidR="00892E11" w:rsidRPr="00892E11" w:rsidRDefault="00892E11" w:rsidP="00892E11">
      <w:pPr>
        <w:spacing w:before="120" w:after="120" w:line="240" w:lineRule="auto"/>
        <w:jc w:val="both"/>
        <w:rPr>
          <w:rFonts w:ascii="Poppins" w:eastAsia="Times New Roman" w:hAnsi="Poppins" w:cs="Poppins"/>
          <w:b/>
          <w:bCs/>
        </w:rPr>
      </w:pPr>
      <w:r w:rsidRPr="00892E11">
        <w:rPr>
          <w:rFonts w:ascii="Poppins" w:eastAsia="Times New Roman" w:hAnsi="Poppins" w:cs="Poppins"/>
        </w:rPr>
        <w:br/>
      </w:r>
      <w:r w:rsidRPr="00892E11">
        <w:rPr>
          <w:rFonts w:ascii="Poppins" w:eastAsia="Times New Roman" w:hAnsi="Poppins" w:cs="Poppins"/>
          <w:b/>
          <w:bCs/>
        </w:rPr>
        <w:t>Jarosław Jędrzyński</w:t>
      </w:r>
    </w:p>
    <w:p w14:paraId="36F7E7B0" w14:textId="4DE22908" w:rsidR="00892E11" w:rsidRPr="007C62CD" w:rsidRDefault="00892E11" w:rsidP="003F01DB">
      <w:pPr>
        <w:spacing w:before="120" w:after="120" w:line="240" w:lineRule="auto"/>
        <w:jc w:val="both"/>
        <w:rPr>
          <w:rFonts w:ascii="Poppins" w:eastAsia="Times New Roman" w:hAnsi="Poppins" w:cs="Poppins"/>
        </w:rPr>
      </w:pPr>
      <w:r w:rsidRPr="00892E11">
        <w:rPr>
          <w:rFonts w:ascii="Poppins" w:eastAsia="Times New Roman" w:hAnsi="Poppins" w:cs="Poppins"/>
        </w:rPr>
        <w:t>Znany i ceniony analityk pracujący od ponad 13 lat dla portalu RynekPierwotny.pl. Od z górą dwóch dekad obecny na rynku nieruchomości. W 2021 r. uznany przez Gazetę Finansową za jednego z pięciu najbardziej opiniotwórczych ekspertów rynku mieszkaniowego. Komentuje funkcjonowanie i tendencje rynków mieszkaniowego i finansowego. Analizuje raporty GUS, NBP i inne dotyczące mieszkaniówki oraz trendy i statystyki sprzedażowo-finansowe giełdowych spółek nieruchomościowych.</w:t>
      </w:r>
    </w:p>
    <w:sectPr w:rsidR="00892E11" w:rsidRPr="007C62CD" w:rsidSect="0078183E">
      <w:headerReference w:type="default" r:id="rId12"/>
      <w:pgSz w:w="11906" w:h="16838"/>
      <w:pgMar w:top="720" w:right="720" w:bottom="720" w:left="720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DAE57" w14:textId="77777777" w:rsidR="00C913BE" w:rsidRDefault="00C913BE" w:rsidP="00E533BD">
      <w:pPr>
        <w:spacing w:after="0" w:line="240" w:lineRule="auto"/>
      </w:pPr>
      <w:r>
        <w:separator/>
      </w:r>
    </w:p>
  </w:endnote>
  <w:endnote w:type="continuationSeparator" w:id="0">
    <w:p w14:paraId="32256E02" w14:textId="77777777" w:rsidR="00C913BE" w:rsidRDefault="00C913BE" w:rsidP="00E5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3E35C" w14:textId="77777777" w:rsidR="00C913BE" w:rsidRDefault="00C913BE" w:rsidP="00E533BD">
      <w:pPr>
        <w:spacing w:after="0" w:line="240" w:lineRule="auto"/>
      </w:pPr>
      <w:r>
        <w:separator/>
      </w:r>
    </w:p>
  </w:footnote>
  <w:footnote w:type="continuationSeparator" w:id="0">
    <w:p w14:paraId="64C85217" w14:textId="77777777" w:rsidR="00C913BE" w:rsidRDefault="00C913BE" w:rsidP="00E5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F483D" w14:textId="31C0457E" w:rsidR="00E533BD" w:rsidRDefault="00DA7D8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049997B" wp14:editId="064C2B69">
          <wp:simplePos x="0" y="0"/>
          <wp:positionH relativeFrom="page">
            <wp:posOffset>28575</wp:posOffset>
          </wp:positionH>
          <wp:positionV relativeFrom="paragraph">
            <wp:posOffset>-624205</wp:posOffset>
          </wp:positionV>
          <wp:extent cx="7496810" cy="1033145"/>
          <wp:effectExtent l="0" t="0" r="0" b="0"/>
          <wp:wrapThrough wrapText="bothSides">
            <wp:wrapPolygon edited="0">
              <wp:start x="1427" y="4779"/>
              <wp:lineTo x="1153" y="6771"/>
              <wp:lineTo x="878" y="9559"/>
              <wp:lineTo x="933" y="15533"/>
              <wp:lineTo x="9331" y="18321"/>
              <wp:lineTo x="19211" y="19117"/>
              <wp:lineTo x="20693" y="19117"/>
              <wp:lineTo x="20693" y="18321"/>
              <wp:lineTo x="18717" y="11948"/>
              <wp:lineTo x="18826" y="8364"/>
              <wp:lineTo x="16302" y="7567"/>
              <wp:lineTo x="1921" y="4779"/>
              <wp:lineTo x="1427" y="4779"/>
            </wp:wrapPolygon>
          </wp:wrapThrough>
          <wp:docPr id="3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7" r="7"/>
                  <a:stretch>
                    <a:fillRect/>
                  </a:stretch>
                </pic:blipFill>
                <pic:spPr>
                  <a:xfrm>
                    <a:off x="0" y="0"/>
                    <a:ext cx="7496810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306C">
      <w:ptab w:relativeTo="margin" w:alignment="center" w:leader="none"/>
    </w:r>
    <w:r w:rsidR="00FB7A20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FE543F"/>
    <w:multiLevelType w:val="multilevel"/>
    <w:tmpl w:val="83E43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1399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BD"/>
    <w:rsid w:val="000061D9"/>
    <w:rsid w:val="00010C4D"/>
    <w:rsid w:val="00015274"/>
    <w:rsid w:val="00015D11"/>
    <w:rsid w:val="00027573"/>
    <w:rsid w:val="00036B59"/>
    <w:rsid w:val="00044139"/>
    <w:rsid w:val="00057F54"/>
    <w:rsid w:val="00084C0E"/>
    <w:rsid w:val="00095996"/>
    <w:rsid w:val="000B221B"/>
    <w:rsid w:val="000C1227"/>
    <w:rsid w:val="000F0B92"/>
    <w:rsid w:val="000F29F6"/>
    <w:rsid w:val="001003CF"/>
    <w:rsid w:val="00106C6C"/>
    <w:rsid w:val="00116F71"/>
    <w:rsid w:val="001176A8"/>
    <w:rsid w:val="00135542"/>
    <w:rsid w:val="00151EF9"/>
    <w:rsid w:val="00160B41"/>
    <w:rsid w:val="001661D3"/>
    <w:rsid w:val="00176DE5"/>
    <w:rsid w:val="00182A25"/>
    <w:rsid w:val="0018306C"/>
    <w:rsid w:val="00184F33"/>
    <w:rsid w:val="00193531"/>
    <w:rsid w:val="00194693"/>
    <w:rsid w:val="001B1C97"/>
    <w:rsid w:val="002044A2"/>
    <w:rsid w:val="002159A8"/>
    <w:rsid w:val="00222BBD"/>
    <w:rsid w:val="00226605"/>
    <w:rsid w:val="00244388"/>
    <w:rsid w:val="00251BAB"/>
    <w:rsid w:val="002542B4"/>
    <w:rsid w:val="0027120F"/>
    <w:rsid w:val="0027344D"/>
    <w:rsid w:val="002853AA"/>
    <w:rsid w:val="00293F01"/>
    <w:rsid w:val="002A3A58"/>
    <w:rsid w:val="002B5047"/>
    <w:rsid w:val="002B675A"/>
    <w:rsid w:val="002C3A0A"/>
    <w:rsid w:val="002D2566"/>
    <w:rsid w:val="002E25F0"/>
    <w:rsid w:val="002E6753"/>
    <w:rsid w:val="002F2BDC"/>
    <w:rsid w:val="00302916"/>
    <w:rsid w:val="0030376C"/>
    <w:rsid w:val="00331728"/>
    <w:rsid w:val="00367682"/>
    <w:rsid w:val="003821F9"/>
    <w:rsid w:val="00395C3F"/>
    <w:rsid w:val="003A1B28"/>
    <w:rsid w:val="003A6192"/>
    <w:rsid w:val="003C399C"/>
    <w:rsid w:val="003C5363"/>
    <w:rsid w:val="003C74F0"/>
    <w:rsid w:val="003D28BE"/>
    <w:rsid w:val="003D4D3A"/>
    <w:rsid w:val="003D5AF9"/>
    <w:rsid w:val="003F01DB"/>
    <w:rsid w:val="003F4D95"/>
    <w:rsid w:val="00405176"/>
    <w:rsid w:val="004069F6"/>
    <w:rsid w:val="00414F41"/>
    <w:rsid w:val="0042191B"/>
    <w:rsid w:val="004425E9"/>
    <w:rsid w:val="00442EBD"/>
    <w:rsid w:val="00445E56"/>
    <w:rsid w:val="00483E2A"/>
    <w:rsid w:val="004C4395"/>
    <w:rsid w:val="004C5E07"/>
    <w:rsid w:val="004F263C"/>
    <w:rsid w:val="004F78D5"/>
    <w:rsid w:val="00504683"/>
    <w:rsid w:val="00507867"/>
    <w:rsid w:val="00515527"/>
    <w:rsid w:val="005417DF"/>
    <w:rsid w:val="005428ED"/>
    <w:rsid w:val="00565B3F"/>
    <w:rsid w:val="00571D71"/>
    <w:rsid w:val="005756AC"/>
    <w:rsid w:val="00595106"/>
    <w:rsid w:val="005B61A8"/>
    <w:rsid w:val="005B6EC7"/>
    <w:rsid w:val="005D03E9"/>
    <w:rsid w:val="005D2E62"/>
    <w:rsid w:val="005E154B"/>
    <w:rsid w:val="005F5DFE"/>
    <w:rsid w:val="00614668"/>
    <w:rsid w:val="006170B5"/>
    <w:rsid w:val="0061798B"/>
    <w:rsid w:val="0064543D"/>
    <w:rsid w:val="00655E69"/>
    <w:rsid w:val="0066231E"/>
    <w:rsid w:val="0067587E"/>
    <w:rsid w:val="00686FBC"/>
    <w:rsid w:val="006872FE"/>
    <w:rsid w:val="00693D0A"/>
    <w:rsid w:val="006C07E3"/>
    <w:rsid w:val="006C644F"/>
    <w:rsid w:val="006D0174"/>
    <w:rsid w:val="006D1A53"/>
    <w:rsid w:val="006E0133"/>
    <w:rsid w:val="006E7D5B"/>
    <w:rsid w:val="006F0A66"/>
    <w:rsid w:val="006F1831"/>
    <w:rsid w:val="00704CB1"/>
    <w:rsid w:val="00745437"/>
    <w:rsid w:val="0076794E"/>
    <w:rsid w:val="007703BF"/>
    <w:rsid w:val="007708B8"/>
    <w:rsid w:val="0078183E"/>
    <w:rsid w:val="00782C3E"/>
    <w:rsid w:val="00793B7D"/>
    <w:rsid w:val="007C62CD"/>
    <w:rsid w:val="007E3768"/>
    <w:rsid w:val="007E7D5F"/>
    <w:rsid w:val="00801EEA"/>
    <w:rsid w:val="00825AD9"/>
    <w:rsid w:val="0083142A"/>
    <w:rsid w:val="00843F8B"/>
    <w:rsid w:val="00855A7A"/>
    <w:rsid w:val="00866A48"/>
    <w:rsid w:val="00884A9A"/>
    <w:rsid w:val="00892E11"/>
    <w:rsid w:val="008936B0"/>
    <w:rsid w:val="008A0725"/>
    <w:rsid w:val="008A7207"/>
    <w:rsid w:val="008C4684"/>
    <w:rsid w:val="008C55BD"/>
    <w:rsid w:val="008F7B1C"/>
    <w:rsid w:val="00907174"/>
    <w:rsid w:val="0091278B"/>
    <w:rsid w:val="009232E8"/>
    <w:rsid w:val="0094148A"/>
    <w:rsid w:val="00946AC3"/>
    <w:rsid w:val="00967D21"/>
    <w:rsid w:val="0097543C"/>
    <w:rsid w:val="009A324B"/>
    <w:rsid w:val="009A3D85"/>
    <w:rsid w:val="009A4AA4"/>
    <w:rsid w:val="009B5818"/>
    <w:rsid w:val="009B681F"/>
    <w:rsid w:val="009C2310"/>
    <w:rsid w:val="009E08C9"/>
    <w:rsid w:val="009E19CD"/>
    <w:rsid w:val="00A0126E"/>
    <w:rsid w:val="00A15860"/>
    <w:rsid w:val="00A24093"/>
    <w:rsid w:val="00A547BE"/>
    <w:rsid w:val="00A64C0A"/>
    <w:rsid w:val="00A67B71"/>
    <w:rsid w:val="00A72752"/>
    <w:rsid w:val="00A90FB0"/>
    <w:rsid w:val="00AB774C"/>
    <w:rsid w:val="00AD34E8"/>
    <w:rsid w:val="00B141B2"/>
    <w:rsid w:val="00B17444"/>
    <w:rsid w:val="00B33F85"/>
    <w:rsid w:val="00B430F1"/>
    <w:rsid w:val="00B5353F"/>
    <w:rsid w:val="00B56979"/>
    <w:rsid w:val="00B6641D"/>
    <w:rsid w:val="00B675F4"/>
    <w:rsid w:val="00B90C5F"/>
    <w:rsid w:val="00BA48E5"/>
    <w:rsid w:val="00BA4AE2"/>
    <w:rsid w:val="00BB2CD6"/>
    <w:rsid w:val="00BD6495"/>
    <w:rsid w:val="00BE3A07"/>
    <w:rsid w:val="00BE3A55"/>
    <w:rsid w:val="00BE548A"/>
    <w:rsid w:val="00BF285E"/>
    <w:rsid w:val="00BF2F46"/>
    <w:rsid w:val="00C01BF7"/>
    <w:rsid w:val="00C05921"/>
    <w:rsid w:val="00C07988"/>
    <w:rsid w:val="00C12248"/>
    <w:rsid w:val="00C34159"/>
    <w:rsid w:val="00C35B7E"/>
    <w:rsid w:val="00C5281C"/>
    <w:rsid w:val="00C65722"/>
    <w:rsid w:val="00C90A7E"/>
    <w:rsid w:val="00C913BE"/>
    <w:rsid w:val="00CA33AD"/>
    <w:rsid w:val="00CB5922"/>
    <w:rsid w:val="00CB7C00"/>
    <w:rsid w:val="00CD15B5"/>
    <w:rsid w:val="00CF036B"/>
    <w:rsid w:val="00CF6C53"/>
    <w:rsid w:val="00D061AE"/>
    <w:rsid w:val="00D1044B"/>
    <w:rsid w:val="00D16161"/>
    <w:rsid w:val="00D3042F"/>
    <w:rsid w:val="00D320B2"/>
    <w:rsid w:val="00D361CB"/>
    <w:rsid w:val="00D40BA7"/>
    <w:rsid w:val="00D455CB"/>
    <w:rsid w:val="00D51A7B"/>
    <w:rsid w:val="00D61549"/>
    <w:rsid w:val="00D77FAB"/>
    <w:rsid w:val="00D91815"/>
    <w:rsid w:val="00D94B78"/>
    <w:rsid w:val="00DA0E39"/>
    <w:rsid w:val="00DA1A06"/>
    <w:rsid w:val="00DA5485"/>
    <w:rsid w:val="00DA6080"/>
    <w:rsid w:val="00DA72F4"/>
    <w:rsid w:val="00DA7D8F"/>
    <w:rsid w:val="00DC1870"/>
    <w:rsid w:val="00DD6A44"/>
    <w:rsid w:val="00DE52F5"/>
    <w:rsid w:val="00E10126"/>
    <w:rsid w:val="00E25AAC"/>
    <w:rsid w:val="00E31551"/>
    <w:rsid w:val="00E3223A"/>
    <w:rsid w:val="00E32A58"/>
    <w:rsid w:val="00E32F03"/>
    <w:rsid w:val="00E36F56"/>
    <w:rsid w:val="00E3719E"/>
    <w:rsid w:val="00E440F2"/>
    <w:rsid w:val="00E50A71"/>
    <w:rsid w:val="00E533BD"/>
    <w:rsid w:val="00E66232"/>
    <w:rsid w:val="00E73303"/>
    <w:rsid w:val="00E84E26"/>
    <w:rsid w:val="00E95E22"/>
    <w:rsid w:val="00EA18AB"/>
    <w:rsid w:val="00EA269B"/>
    <w:rsid w:val="00EC10B9"/>
    <w:rsid w:val="00ED61B2"/>
    <w:rsid w:val="00F06678"/>
    <w:rsid w:val="00F15812"/>
    <w:rsid w:val="00F2311C"/>
    <w:rsid w:val="00F27BE9"/>
    <w:rsid w:val="00F306E0"/>
    <w:rsid w:val="00F316AC"/>
    <w:rsid w:val="00F52BC1"/>
    <w:rsid w:val="00F60C6C"/>
    <w:rsid w:val="00F6623D"/>
    <w:rsid w:val="00F954C6"/>
    <w:rsid w:val="00FA42CC"/>
    <w:rsid w:val="00FB1774"/>
    <w:rsid w:val="00FB7A20"/>
    <w:rsid w:val="00FC22FE"/>
    <w:rsid w:val="00FC785B"/>
    <w:rsid w:val="00FD5C22"/>
    <w:rsid w:val="00F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EF5DA"/>
  <w15:chartTrackingRefBased/>
  <w15:docId w15:val="{F36E7F9C-64BC-455F-93AF-CCB032D6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3BD"/>
  </w:style>
  <w:style w:type="paragraph" w:styleId="Stopka">
    <w:name w:val="footer"/>
    <w:basedOn w:val="Normalny"/>
    <w:link w:val="Stopka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3BD"/>
  </w:style>
  <w:style w:type="paragraph" w:styleId="NormalnyWeb">
    <w:name w:val="Normal (Web)"/>
    <w:basedOn w:val="Normalny"/>
    <w:uiPriority w:val="99"/>
    <w:semiHidden/>
    <w:unhideWhenUsed/>
    <w:rsid w:val="00271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7120F"/>
    <w:rPr>
      <w:color w:val="0000FF"/>
      <w:u w:val="single"/>
    </w:rPr>
  </w:style>
  <w:style w:type="character" w:customStyle="1" w:styleId="hgkelc">
    <w:name w:val="hgkelc"/>
    <w:basedOn w:val="Domylnaczcionkaakapitu"/>
    <w:rsid w:val="00E3719E"/>
  </w:style>
  <w:style w:type="character" w:styleId="Pogrubienie">
    <w:name w:val="Strong"/>
    <w:basedOn w:val="Domylnaczcionkaakapitu"/>
    <w:uiPriority w:val="22"/>
    <w:qFormat/>
    <w:rsid w:val="004C4395"/>
    <w:rPr>
      <w:b/>
      <w:bCs/>
    </w:rPr>
  </w:style>
  <w:style w:type="paragraph" w:styleId="Bezodstpw">
    <w:name w:val="No Spacing"/>
    <w:uiPriority w:val="1"/>
    <w:qFormat/>
    <w:rsid w:val="00F27BE9"/>
    <w:pPr>
      <w:spacing w:after="0" w:line="240" w:lineRule="auto"/>
    </w:pPr>
  </w:style>
  <w:style w:type="paragraph" w:customStyle="1" w:styleId="Textbody">
    <w:name w:val="Text body"/>
    <w:basedOn w:val="Normalny"/>
    <w:rsid w:val="00571D71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2E1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101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2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7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8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19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58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160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752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43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9646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64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680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349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04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920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199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397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685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808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ynekpierwotny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A948-74EE-46C4-AA71-52FAB671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923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Kazimierczak</dc:creator>
  <cp:keywords/>
  <dc:description/>
  <cp:lastModifiedBy>Marlena Rzepniewska</cp:lastModifiedBy>
  <cp:revision>27</cp:revision>
  <cp:lastPrinted>2022-08-09T11:51:00Z</cp:lastPrinted>
  <dcterms:created xsi:type="dcterms:W3CDTF">2025-09-18T18:39:00Z</dcterms:created>
  <dcterms:modified xsi:type="dcterms:W3CDTF">2025-09-22T10:35:00Z</dcterms:modified>
</cp:coreProperties>
</file>